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color w:val="auto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lang w:val="ru-RU"/>
        </w:rPr>
        <w:t xml:space="preserve">Приложение № </w:t>
      </w:r>
      <w:r>
        <w:rPr>
          <w:color w:val="auto"/>
          <w:sz w:val="24"/>
          <w:szCs w:val="24"/>
          <w:lang w:val="ru-RU"/>
        </w:rPr>
        <w:t>1</w:t>
      </w:r>
    </w:p>
    <w:p>
      <w:pPr>
        <w:pStyle w:val="Normal"/>
        <w:jc w:val="right"/>
        <w:rPr>
          <w:lang w:val="ru-RU"/>
        </w:rPr>
      </w:pPr>
      <w:r>
        <w:rPr>
          <w:lang w:val="ru-RU"/>
        </w:rPr>
        <w:t xml:space="preserve">            </w:t>
      </w:r>
      <w:r>
        <w:rPr>
          <w:lang w:val="ru-RU"/>
        </w:rPr>
        <w:t xml:space="preserve">к Договору № </w:t>
      </w:r>
    </w:p>
    <w:p>
      <w:pPr>
        <w:pStyle w:val="Normal"/>
        <w:jc w:val="right"/>
        <w:rPr>
          <w:color w:val="auto"/>
        </w:rPr>
      </w:pPr>
      <w:r>
        <w:rPr>
          <w:color w:val="auto"/>
          <w:sz w:val="24"/>
          <w:szCs w:val="24"/>
          <w:lang w:val="ru-RU"/>
        </w:rPr>
        <w:t xml:space="preserve">              </w:t>
      </w:r>
      <w:r>
        <w:rPr>
          <w:color w:val="auto"/>
          <w:sz w:val="24"/>
          <w:szCs w:val="24"/>
          <w:lang w:val="ru-RU"/>
        </w:rPr>
        <w:t xml:space="preserve">от «____» ________ 2026 г. </w:t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color w:val="auto"/>
        </w:rPr>
      </w:pPr>
      <w:r>
        <w:rPr>
          <w:rFonts w:eastAsia="Calibri"/>
          <w:b/>
          <w:color w:val="auto"/>
        </w:rPr>
        <w:t>Задание на оказание услуг</w:t>
      </w:r>
    </w:p>
    <w:p>
      <w:pPr>
        <w:pStyle w:val="Normal"/>
        <w:keepNext w:val="true"/>
        <w:keepLines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</w:r>
    </w:p>
    <w:p>
      <w:pPr>
        <w:pStyle w:val="Normal"/>
        <w:bidi w:val="0"/>
        <w:jc w:val="right"/>
        <w:rPr>
          <w:b/>
          <w:bCs/>
        </w:rPr>
      </w:pPr>
      <w:r>
        <w:rPr>
          <w:rFonts w:eastAsia="Calibri"/>
          <w:b/>
          <w:bCs/>
          <w:i w:val="false"/>
          <w:strike w:val="false"/>
          <w:dstrike w:val="false"/>
          <w:outline w:val="false"/>
          <w:shadow w:val="false"/>
          <w:color w:val="auto"/>
          <w:sz w:val="22"/>
          <w:u w:val="none"/>
          <w:em w:val="none"/>
        </w:rPr>
        <w:t>О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>КПД2 71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.12.13.000. Выполнение проектно-изыскательских работ по модернизации узла коммерческого учета газа ГРП № 1 в рамках инвестиционного проекта P_508-92525</w:t>
      </w:r>
    </w:p>
    <w:p>
      <w:pPr>
        <w:pStyle w:val="Normal"/>
        <w:bidi w:val="0"/>
        <w:jc w:val="center"/>
        <w:rPr>
          <w:b/>
          <w:bCs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лот №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2"/>
          <w:szCs w:val="24"/>
          <w:u w:val="none"/>
          <w:em w:val="none"/>
        </w:rPr>
        <w:t>104601-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>ТПИР ОБСЛ-2026-ЯЭ</w:t>
      </w:r>
    </w:p>
    <w:p>
      <w:pPr>
        <w:pStyle w:val="Normal"/>
        <w:bidi w:val="0"/>
        <w:jc w:val="right"/>
        <w:rPr/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 </w:t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</w:r>
    </w:p>
    <w:p>
      <w:pPr>
        <w:pStyle w:val="Normal"/>
        <w:keepNext w:val="true"/>
        <w:keepLines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Normal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  <w:r>
        <w:br w:type="page"/>
      </w:r>
    </w:p>
    <w:p>
      <w:pPr>
        <w:pStyle w:val="Normal"/>
        <w:jc w:val="center"/>
        <w:rPr>
          <w:color w:val="auto"/>
        </w:rPr>
      </w:pPr>
      <w:r>
        <w:rPr>
          <w:b/>
          <w:color w:val="auto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r>
            <w:fldChar w:fldCharType="begin"/>
          </w:r>
          <w:r>
            <w:rPr>
              <w:webHidden/>
              <w:rStyle w:val="Style13"/>
              <w:vanish w:val="false"/>
              <w:color w:val="auto"/>
            </w:rPr>
            <w:instrText xml:space="preserve"> TOC \z \o "1-4" \u \h</w:instrText>
          </w:r>
          <w:r>
            <w:rPr>
              <w:webHidden/>
              <w:rStyle w:val="Style13"/>
              <w:vanish w:val="false"/>
              <w:color w:val="auto"/>
            </w:rPr>
            <w:fldChar w:fldCharType="separate"/>
          </w:r>
          <w:hyperlink w:anchor="_Toc167372547">
            <w:r>
              <w:rPr>
                <w:webHidden/>
                <w:rStyle w:val="Style13"/>
                <w:vanish w:val="false"/>
                <w:color w:val="auto"/>
              </w:rPr>
              <w:t>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_Toc167372547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color w:val="auto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48">
            <w:r>
              <w:rPr>
                <w:webHidden/>
                <w:rStyle w:val="Style13"/>
                <w:iCs/>
                <w:vanish w:val="false"/>
                <w:color w:val="auto"/>
              </w:rPr>
              <w:t>1.1.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_Toc167372548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color w:val="auto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49">
            <w:r>
              <w:rPr>
                <w:webHidden/>
                <w:rStyle w:val="Style13"/>
                <w:iCs/>
                <w:vanish w:val="false"/>
                <w:color w:val="auto"/>
              </w:rPr>
              <w:t>1.2.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_Toc167372549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color w:val="auto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50">
            <w:r>
              <w:rPr>
                <w:webHidden/>
                <w:rStyle w:val="Style13"/>
                <w:iCs/>
                <w:vanish w:val="false"/>
                <w:color w:val="auto"/>
              </w:rPr>
              <w:t>1.3.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_Toc167372550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color w:val="auto"/>
              </w:rPr>
              <w:t>Цель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widowControl/>
            <w:bidi w:val="0"/>
            <w:jc w:val="left"/>
            <w:rPr>
              <w:color w:val="auto"/>
              <w:lang w:eastAsia="ru-RU"/>
            </w:rPr>
          </w:pPr>
          <w:r>
            <w:rPr>
              <w:color w:val="auto"/>
              <w:lang w:eastAsia="ru-RU"/>
            </w:rPr>
            <w:t>1.4      Существующее положение……………………………………………………………………….…………..4</w:t>
          </w:r>
        </w:p>
        <w:p>
          <w:pPr>
            <w:pStyle w:val="Normal"/>
            <w:widowControl/>
            <w:bidi w:val="0"/>
            <w:jc w:val="left"/>
            <w:rPr>
              <w:rFonts w:ascii="Times New Roman" w:hAnsi="Times New Roman" w:eastAsia="Times New Roman" w:cs="Calibri Light (Заголовки)"/>
              <w:b/>
              <w:bCs/>
              <w:vanish w:val="false"/>
              <w:color w:val="auto"/>
              <w:sz w:val="24"/>
              <w:szCs w:val="24"/>
              <w:lang w:eastAsia="ru-RU"/>
            </w:rPr>
          </w:pPr>
          <w:r>
            <w:rPr>
              <w:rFonts w:eastAsia="Times New Roman" w:cs="Calibri Light (Заголовки)"/>
              <w:b/>
              <w:bCs/>
              <w:vanish w:val="false"/>
              <w:color w:val="auto"/>
              <w:sz w:val="24"/>
              <w:szCs w:val="24"/>
              <w:lang w:eastAsia="ru-RU"/>
            </w:rPr>
            <w:t xml:space="preserve">Таблица </w:t>
          </w:r>
          <w:bookmarkStart w:id="0" w:name="Табл_Перечень_сущ_подсистем_Копия_1"/>
          <w:r>
            <w:rPr>
              <w:rFonts w:eastAsia="Times New Roman" w:cs="Calibri Light (Заголовки)"/>
              <w:b/>
              <w:bCs/>
              <w:vanish w:val="false"/>
              <w:color w:val="auto"/>
              <w:sz w:val="24"/>
              <w:szCs w:val="24"/>
              <w:lang w:eastAsia="ru-RU"/>
            </w:rPr>
            <w:t>1</w:t>
          </w:r>
          <w:bookmarkEnd w:id="0"/>
          <w:r>
            <w:rPr>
              <w:rFonts w:eastAsia="Times New Roman" w:cs="Calibri Light (Заголовки)"/>
              <w:b/>
              <w:bCs/>
              <w:vanish w:val="false"/>
              <w:color w:val="auto"/>
              <w:sz w:val="24"/>
              <w:szCs w:val="24"/>
              <w:lang w:eastAsia="ru-RU"/>
            </w:rPr>
            <w:t xml:space="preserve"> – Перечень объектов Заказчика (состав оборудования и систем)……………...…4</w:t>
          </w:r>
        </w:p>
        <w:p>
          <w:pPr>
            <w:pStyle w:val="Normal"/>
            <w:widowControl/>
            <w:suppressAutoHyphens w:val="true"/>
            <w:bidi w:val="0"/>
            <w:spacing w:before="0" w:after="0"/>
            <w:ind w:left="567" w:right="0" w:hanging="0"/>
            <w:jc w:val="left"/>
            <w:rPr>
              <w:color w:val="auto"/>
            </w:rPr>
          </w:pPr>
          <w:r>
            <w:rPr>
              <w:rFonts w:eastAsia="Times New Roman" w:cs="Calibri" w:cstheme="minorHAnsi"/>
              <w:color w:val="auto"/>
              <w:sz w:val="20"/>
              <w:szCs w:val="20"/>
              <w:lang w:eastAsia="ru-RU"/>
            </w:rPr>
            <w:t>1.5.</w:t>
            <w:tab/>
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договора)……………………………………………………………………………………..………….5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67372556">
            <w:r>
              <w:rPr>
                <w:webHidden/>
                <w:rStyle w:val="Style13"/>
                <w:vanish w:val="false"/>
                <w:color w:val="auto"/>
              </w:rPr>
              <w:t>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iCs/>
                <w:color w:val="auto"/>
              </w:rPr>
              <w:t>Требования к продукции.</w:t>
            </w:r>
            <w:r>
              <w:rPr>
                <w:rStyle w:val="Style13"/>
                <w:color w:val="auto"/>
              </w:rPr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57">
            <w:r>
              <w:rPr>
                <w:webHidden/>
                <w:rStyle w:val="Style13"/>
                <w:iCs/>
                <w:vanish w:val="false"/>
                <w:color w:val="auto"/>
              </w:rPr>
              <w:t>2.1.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color w:val="auto"/>
              </w:rPr>
              <w:t>Требования к объемам и срокам выполнения работ</w:t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58">
            <w:r>
              <w:rPr>
                <w:webHidden/>
                <w:rStyle w:val="Style13"/>
                <w:vanish w:val="false"/>
                <w:color w:val="auto"/>
              </w:rPr>
              <w:t>2.1.1.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color w:val="auto"/>
              </w:rPr>
              <w:t>Требования к видам и объемам работ</w:t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67372559">
            <w:r>
              <w:rPr>
                <w:webHidden/>
                <w:rStyle w:val="Style13"/>
                <w:vanish w:val="false"/>
                <w:color w:val="auto"/>
              </w:rPr>
              <w:t>Таблица 2. Перечень и объем выполняемых работ</w:t>
            </w:r>
            <w:r>
              <w:rPr>
                <w:rStyle w:val="Style13"/>
                <w:color w:val="auto"/>
              </w:rPr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60">
            <w:r>
              <w:rPr>
                <w:webHidden/>
                <w:rStyle w:val="Style13"/>
                <w:vanish w:val="false"/>
                <w:color w:val="auto"/>
              </w:rPr>
              <w:t>2.1.2.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color w:val="auto"/>
              </w:rPr>
              <w:t>Требования к срокам выполнения работ</w:t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67372561">
            <w:r>
              <w:rPr>
                <w:webHidden/>
                <w:rStyle w:val="Style13"/>
                <w:vanish w:val="false"/>
                <w:color w:val="auto"/>
              </w:rPr>
              <w:t>Таблица 3. Требования по срокам выполнения работ</w:t>
            </w:r>
            <w:r>
              <w:rPr>
                <w:rStyle w:val="Style13"/>
                <w:color w:val="auto"/>
              </w:rPr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/>
          </w:pPr>
          <w:hyperlink w:anchor="_Toc167372562">
            <w:r>
              <w:rPr>
                <w:webHidden/>
                <w:rStyle w:val="Style13"/>
                <w:iCs/>
                <w:vanish w:val="false"/>
                <w:color w:val="auto"/>
              </w:rPr>
              <w:t>2.2.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color w:val="auto"/>
              </w:rPr>
              <w:t>Требования к качеству работ</w:t>
              <w:tab/>
            </w:r>
          </w:hyperlink>
          <w:r>
            <w:rPr>
              <w:color w:val="auto"/>
            </w:rPr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67372563">
            <w:r>
              <w:rPr>
                <w:webHidden/>
                <w:rStyle w:val="Style13"/>
                <w:vanish w:val="false"/>
                <w:color w:val="auto"/>
              </w:rPr>
              <w:t>Таблица 4. Требования к качеству работ</w:t>
            </w:r>
            <w:r>
              <w:rPr>
                <w:rStyle w:val="Style13"/>
                <w:color w:val="auto"/>
              </w:rPr>
              <w:tab/>
            </w:r>
          </w:hyperlink>
          <w:r>
            <w:rPr>
              <w:color w:val="auto"/>
            </w:rPr>
            <w:t>7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/>
          </w:pPr>
          <w:hyperlink w:anchor="_Toc167372564">
            <w:r>
              <w:rPr>
                <w:webHidden/>
                <w:rStyle w:val="Style13"/>
                <w:vanish w:val="false"/>
                <w:color w:val="auto"/>
              </w:rPr>
              <w:t>3.</w:t>
            </w:r>
            <w:r>
              <w:rPr>
                <w:rStyle w:val="Style13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color w:val="auto"/>
                <w:sz w:val="22"/>
                <w:szCs w:val="22"/>
              </w:rPr>
              <w:tab/>
            </w:r>
            <w:r>
              <w:rPr>
                <w:rStyle w:val="Style13"/>
                <w:iCs/>
                <w:color w:val="auto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_Toc167372564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3"/>
                <w:color w:val="auto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3"/>
              <w:color w:val="auto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ascii="Calibri" w:hAnsi="Calibri" w:eastAsia="" w:cs="" w:asciiTheme="minorHAnsi" w:cstheme="minorBidi" w:eastAsiaTheme="minorEastAsia" w:hAnsiTheme="minorHAnsi"/>
          <w:b w:val="false"/>
          <w:bCs w:val="false"/>
          <w:color w:val="auto"/>
          <w:sz w:val="22"/>
          <w:szCs w:val="22"/>
        </w:rPr>
      </w:pPr>
      <w:r>
        <w:rPr>
          <w:rFonts w:eastAsia="" w:cs="" w:cstheme="minorBidi" w:eastAsiaTheme="minorEastAsia" w:ascii="Calibri" w:hAnsi="Calibri"/>
          <w:b w:val="false"/>
          <w:bCs w:val="false"/>
          <w:color w:val="auto"/>
          <w:sz w:val="22"/>
          <w:szCs w:val="22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eastAsia="" w:cs="Times New Roman" w:eastAsiaTheme="minorEastAsia"/>
          <w:b w:val="false"/>
          <w:bCs w:val="false"/>
          <w:color w:val="auto"/>
          <w:sz w:val="22"/>
          <w:szCs w:val="22"/>
        </w:rPr>
      </w:pPr>
      <w:r>
        <w:rPr>
          <w:rFonts w:eastAsia="" w:cs="Times New Roman" w:eastAsiaTheme="minorEastAsia"/>
          <w:b w:val="false"/>
          <w:bCs w:val="false"/>
          <w:color w:val="auto"/>
          <w:sz w:val="22"/>
          <w:szCs w:val="22"/>
        </w:rPr>
      </w:r>
    </w:p>
    <w:p>
      <w:pPr>
        <w:pStyle w:val="TOC1"/>
        <w:tabs>
          <w:tab w:val="clear" w:pos="708"/>
          <w:tab w:val="right" w:pos="9911" w:leader="dot"/>
        </w:tabs>
        <w:rPr>
          <w:rFonts w:eastAsia="" w:cs="Times New Roman" w:eastAsiaTheme="minorEastAsia"/>
          <w:b w:val="false"/>
          <w:bCs w:val="false"/>
          <w:color w:val="auto"/>
        </w:rPr>
      </w:pPr>
      <w:r>
        <w:rPr>
          <w:rFonts w:eastAsia="" w:cs="Times New Roman" w:eastAsiaTheme="minorEastAsia"/>
          <w:b w:val="false"/>
          <w:bCs w:val="false"/>
          <w:color w:val="auto"/>
        </w:rPr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  <w:color w:val="auto"/>
        </w:rPr>
      </w:pPr>
      <w:r>
        <w:rPr>
          <w:b w:val="false"/>
          <w:i/>
          <w:color w:val="auto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auto"/>
          <w:sz w:val="24"/>
          <w:szCs w:val="24"/>
        </w:rPr>
      </w:pPr>
      <w:r>
        <w:rPr>
          <w:rFonts w:eastAsia="Calibri"/>
          <w:b/>
          <w:i/>
          <w:color w:val="auto"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olor w:val="auto"/>
        </w:rPr>
      </w:pPr>
      <w:bookmarkStart w:id="1" w:name="_Toc167372547"/>
      <w:bookmarkStart w:id="2" w:name="_Toc51339692"/>
      <w:r>
        <w:rPr>
          <w:color w:val="auto"/>
          <w:lang w:val="ru-RU"/>
        </w:rPr>
        <w:t>Общие сведения</w:t>
      </w:r>
      <w:bookmarkEnd w:id="1"/>
      <w:bookmarkEnd w:id="2"/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3" w:name="_Toc167372548"/>
      <w:bookmarkStart w:id="4" w:name="_Toc46743505"/>
      <w:r>
        <w:rPr>
          <w:color w:val="auto"/>
        </w:rPr>
        <w:t>Обозначения и сокращения</w:t>
      </w:r>
      <w:bookmarkEnd w:id="3"/>
      <w:bookmarkEnd w:id="4"/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2337"/>
        <w:gridCol w:w="7583"/>
      </w:tblGrid>
      <w:tr>
        <w:trPr>
          <w:trHeight w:val="454" w:hRule="atLeas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0"/>
              <w:contextualSpacing/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Термин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120" w:after="0"/>
              <w:contextualSpacing/>
              <w:jc w:val="center"/>
              <w:rPr>
                <w:color w:val="auto"/>
              </w:rPr>
            </w:pPr>
            <w:r>
              <w:rPr>
                <w:rFonts w:ascii="Times New Roman" w:hAnsi="Times New Roman"/>
                <w:b/>
                <w:color w:val="auto"/>
              </w:rPr>
              <w:t>Определение</w:t>
            </w:r>
          </w:p>
        </w:tc>
      </w:tr>
      <w:tr>
        <w:trPr>
          <w:trHeight w:val="454" w:hRule="atLeas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ГРП 1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Газорегуляторный пункт № 1, Якутской ТЭЦ.</w:t>
            </w:r>
          </w:p>
        </w:tc>
      </w:tr>
      <w:tr>
        <w:trPr>
          <w:trHeight w:val="454" w:hRule="atLeast"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Помещение КИП и А ГРП № 1</w:t>
            </w:r>
          </w:p>
        </w:tc>
        <w:tc>
          <w:tcPr>
            <w:tcW w:w="7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Помещение входящее в состав ГРП № 1, примыкающее к помещению в котором установлено основное оборудование и имеющее отдельный вход с территории ЯТЭЦ.</w:t>
            </w:r>
          </w:p>
        </w:tc>
      </w:tr>
      <w:tr>
        <w:trPr>
          <w:trHeight w:val="454" w:hRule="atLeast"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Газопровод ГРП № 1</w:t>
            </w:r>
          </w:p>
        </w:tc>
        <w:tc>
          <w:tcPr>
            <w:tcW w:w="7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Стальной трубопровод Dy — 150 мм., предназначенный для подачи природного газа к ГРП № 1.</w:t>
            </w:r>
          </w:p>
        </w:tc>
      </w:tr>
      <w:tr>
        <w:trPr>
          <w:trHeight w:val="454" w:hRule="atLeas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ГРП 2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Газорегуляторный пункт № 2, Якутской ТЭЦ.</w:t>
            </w:r>
          </w:p>
        </w:tc>
      </w:tr>
      <w:tr>
        <w:trPr>
          <w:trHeight w:val="454" w:hRule="atLeast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Щит ГРП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>Электрический щит, управления электроприводами и приборов ГРП № 1 и ГРП № 2, расположенный в зале паровых котлов главного корпуса Якутской ТЭЦ.</w:t>
            </w:r>
          </w:p>
        </w:tc>
      </w:tr>
    </w:tbl>
    <w:p>
      <w:pPr>
        <w:pStyle w:val="Normal"/>
        <w:keepNext w:val="true"/>
        <w:keepLines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5" w:name="_Toc167372549"/>
      <w:bookmarkStart w:id="6" w:name="_Toc46743506"/>
      <w:r>
        <w:rPr>
          <w:color w:val="auto"/>
        </w:rPr>
        <w:t>Наименование закупаемой продукции</w:t>
      </w:r>
      <w:bookmarkEnd w:id="5"/>
      <w:bookmarkEnd w:id="6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jc w:val="both"/>
        <w:rPr/>
      </w:pPr>
      <w:r>
        <w:rPr>
          <w:rStyle w:val="Style7"/>
          <w:rFonts w:eastAsia="Calibri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shd w:fill="auto" w:val="clear"/>
          <w:em w:val="none"/>
          <w:lang w:eastAsia="ru-RU"/>
        </w:rPr>
        <w:t>О</w:t>
      </w:r>
      <w:r>
        <w:rPr>
          <w:rStyle w:val="Style7"/>
          <w:rFonts w:eastAsia="Times New Roman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shd w:fill="auto" w:val="clear"/>
          <w:em w:val="none"/>
          <w:lang w:eastAsia="ru-RU"/>
        </w:rPr>
        <w:t>КПД2 71</w:t>
      </w:r>
      <w:r>
        <w:rPr>
          <w:rStyle w:val="Style7"/>
          <w:rFonts w:eastAsia="Times New Roman" w:cs="Times New Roman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eastAsia="ru-RU"/>
        </w:rPr>
        <w:t xml:space="preserve">.12.13.000. </w:t>
      </w:r>
      <w:r>
        <w:rPr>
          <w:rStyle w:val="Style7"/>
          <w:rFonts w:eastAsia="Times New Roman" w:cs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eastAsia="ru-RU"/>
        </w:rPr>
        <w:t xml:space="preserve">Выполнение проектно-изыскательских работ по модернизации узла коммерческого учета газа ГРП № 1 </w:t>
      </w:r>
      <w:r>
        <w:rPr>
          <w:rStyle w:val="Style7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shd w:fill="auto" w:val="clear"/>
          <w:em w:val="none"/>
          <w:lang w:eastAsia="ru-RU"/>
        </w:rPr>
        <w:t>в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 xml:space="preserve"> рамках инвестиционного проекта P_508-92525.</w:t>
      </w:r>
    </w:p>
    <w:p>
      <w:pPr>
        <w:pStyle w:val="Heading4"/>
        <w:numPr>
          <w:ilvl w:val="1"/>
          <w:numId w:val="3"/>
        </w:numPr>
        <w:spacing w:before="0" w:after="60"/>
        <w:ind w:left="431" w:hanging="431"/>
        <w:rPr>
          <w:color w:val="auto"/>
        </w:rPr>
      </w:pPr>
      <w:bookmarkStart w:id="7" w:name="_Toc167372550"/>
      <w:bookmarkStart w:id="8" w:name="_Toc46743507"/>
      <w:r>
        <w:rPr>
          <w:color w:val="auto"/>
        </w:rPr>
        <w:t xml:space="preserve">Цель </w:t>
      </w:r>
      <w:bookmarkEnd w:id="8"/>
      <w:r>
        <w:rPr>
          <w:color w:val="auto"/>
          <w:lang w:val="ru-RU"/>
        </w:rPr>
        <w:t>выполнения работ</w:t>
      </w:r>
      <w:bookmarkEnd w:id="7"/>
      <w:r>
        <w:rPr>
          <w:color w:val="auto"/>
        </w:rPr>
        <w:t xml:space="preserve"> </w:t>
      </w:r>
    </w:p>
    <w:p>
      <w:pPr>
        <w:pStyle w:val="Normal"/>
        <w:jc w:val="both"/>
        <w:rPr>
          <w:color w:val="auto"/>
        </w:rPr>
      </w:pPr>
      <w:bookmarkStart w:id="9" w:name="_Toc135568376"/>
      <w:r>
        <w:rPr>
          <w:color w:val="auto"/>
          <w:sz w:val="24"/>
          <w:szCs w:val="24"/>
        </w:rPr>
        <w:t>Целью работ является модернизация узла коммерческого учета газа ГРП № 1, Якутской ТЭЦ, включающая в себя замену датчика расхода газа ДРГ.М 5000 на датчик расхода газа (преобразователя вихревого) типа ЭМИС-ВИХРЬ 200 (далее датчик расхода), с выносом последнего на газопровод за пределами помещения ГРП 1, что позволит решить ряд технических и организационных задач</w:t>
      </w:r>
      <w:bookmarkEnd w:id="9"/>
      <w:r>
        <w:rPr>
          <w:color w:val="auto"/>
          <w:sz w:val="24"/>
          <w:szCs w:val="24"/>
        </w:rPr>
        <w:t>.</w:t>
      </w:r>
    </w:p>
    <w:p>
      <w:pPr>
        <w:pStyle w:val="Heading4"/>
        <w:numPr>
          <w:ilvl w:val="2"/>
          <w:numId w:val="3"/>
        </w:numPr>
        <w:ind w:left="0" w:hanging="0"/>
        <w:jc w:val="both"/>
        <w:rPr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  <w:t>Замена устаревшего оборудования (датчика расхода) входящего в состав узла учета газа ГРП № 1.</w:t>
      </w:r>
    </w:p>
    <w:p>
      <w:pPr>
        <w:pStyle w:val="ListParagraph"/>
        <w:numPr>
          <w:ilvl w:val="2"/>
          <w:numId w:val="3"/>
        </w:numPr>
        <w:ind w:left="0" w:hanging="0"/>
        <w:jc w:val="both"/>
        <w:rPr>
          <w:color w:val="auto"/>
        </w:rPr>
      </w:pPr>
      <w:r>
        <w:rPr>
          <w:rFonts w:cs="Times New Roman" w:ascii="Times New Roman" w:hAnsi="Times New Roman"/>
          <w:color w:val="auto"/>
        </w:rPr>
        <w:t>Увеличение межповерочного интервала оборудования входящего в состав узла учета газа ГРП № 1, с трех до пяти лет.</w:t>
      </w:r>
    </w:p>
    <w:p>
      <w:pPr>
        <w:pStyle w:val="ListParagraph"/>
        <w:numPr>
          <w:ilvl w:val="2"/>
          <w:numId w:val="3"/>
        </w:numPr>
        <w:ind w:left="0" w:hanging="0"/>
        <w:jc w:val="both"/>
        <w:rPr>
          <w:color w:val="auto"/>
        </w:rPr>
      </w:pPr>
      <w:r>
        <w:rPr>
          <w:rFonts w:cs="Times New Roman" w:ascii="Times New Roman" w:hAnsi="Times New Roman"/>
          <w:color w:val="auto"/>
        </w:rPr>
        <w:t>Переход на методику поверки не требующую специализированного оборудования, находящегося за пределами республики.</w:t>
      </w:r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10" w:name="_Toc46743508"/>
      <w:bookmarkStart w:id="11" w:name="_Toc167372552"/>
      <w:r>
        <w:rPr>
          <w:color w:val="auto"/>
        </w:rPr>
        <w:t>Существующее положение</w:t>
      </w:r>
      <w:bookmarkEnd w:id="10"/>
      <w:bookmarkEnd w:id="11"/>
      <w:r>
        <w:rPr>
          <w:color w:val="auto"/>
          <w:lang w:val="ru-RU"/>
        </w:rPr>
        <w:t xml:space="preserve"> </w:t>
      </w:r>
      <w:bookmarkStart w:id="12" w:name="_Hlk49857604"/>
      <w:bookmarkStart w:id="13" w:name="_Toc46743509"/>
    </w:p>
    <w:p>
      <w:pPr>
        <w:pStyle w:val="Normal"/>
        <w:suppressAutoHyphens w:val="false"/>
        <w:jc w:val="both"/>
        <w:rPr>
          <w:color w:val="auto"/>
        </w:rPr>
      </w:pPr>
      <w:r>
        <w:rPr>
          <w:color w:val="000000"/>
          <w:sz w:val="24"/>
          <w:szCs w:val="24"/>
          <w:shd w:fill="FFFFFF" w:val="clear"/>
        </w:rPr>
        <w:t>Якутская ТЭЦ (далее ЯТЭЦ), расположена в г. Якутск, Республики Саха (Якутия). На ЯТЭЦ установлены три паровых и пять водогрейных котлов работающих на природном газе по ГОСТ 5542, приобретаемом у АО «Сахатранснефтегаз».</w:t>
      </w:r>
    </w:p>
    <w:p>
      <w:pPr>
        <w:pStyle w:val="Normal"/>
        <w:suppressAutoHyphens w:val="false"/>
        <w:jc w:val="both"/>
        <w:rPr>
          <w:color w:val="auto"/>
        </w:rPr>
      </w:pPr>
      <w:r>
        <w:rPr>
          <w:color w:val="000000"/>
          <w:sz w:val="24"/>
          <w:szCs w:val="24"/>
          <w:shd w:fill="FFFFFF" w:val="clear"/>
        </w:rPr>
        <w:t>Природный газ поставляется по газопроводам до ГРП 1 и ГРП 2 ЯТЭЦ, на которых установлены узлы учета природного газа.</w:t>
      </w:r>
    </w:p>
    <w:p>
      <w:pPr>
        <w:pStyle w:val="Normal"/>
        <w:suppressAutoHyphens w:val="false"/>
        <w:jc w:val="both"/>
        <w:rPr>
          <w:color w:val="auto"/>
        </w:rPr>
      </w:pPr>
      <w:r>
        <w:rPr>
          <w:color w:val="000000"/>
          <w:sz w:val="24"/>
          <w:szCs w:val="24"/>
          <w:shd w:fill="FFFFFF" w:val="clear"/>
        </w:rPr>
        <w:t>Узел коммерческого учета предназначен для измерения параметров природного газа (рабочий расход, давление, температура) проходящего через ГРП 1, и приведения результатов измерения к нормальным условиям (коррекции), с последующим архивированием. Результаты измерений используются для расчетов за потребленный энергоресурсы между ПАО «Якутскэнерго» и АО «Сахатранснефтегаз».</w:t>
      </w:r>
    </w:p>
    <w:p>
      <w:pPr>
        <w:pStyle w:val="Normal"/>
        <w:suppressAutoHyphens w:val="false"/>
        <w:jc w:val="both"/>
        <w:rPr>
          <w:color w:val="auto"/>
        </w:rPr>
      </w:pPr>
      <w:r>
        <w:rPr>
          <w:color w:val="auto"/>
        </w:rPr>
      </w:r>
      <w:bookmarkStart w:id="14" w:name="_Toc135568379"/>
      <w:bookmarkStart w:id="15" w:name="_Toc135568379"/>
    </w:p>
    <w:p>
      <w:pPr>
        <w:pStyle w:val="ListParagraph"/>
        <w:keepNext w:val="true"/>
        <w:numPr>
          <w:ilvl w:val="2"/>
          <w:numId w:val="3"/>
        </w:numPr>
        <w:tabs>
          <w:tab w:val="clear" w:pos="708"/>
          <w:tab w:val="left" w:pos="709" w:leader="none"/>
        </w:tabs>
        <w:spacing w:lineRule="auto" w:line="288"/>
        <w:ind w:left="851" w:hanging="851"/>
        <w:jc w:val="both"/>
        <w:outlineLvl w:val="1"/>
        <w:rPr>
          <w:color w:val="auto"/>
        </w:rPr>
      </w:pPr>
      <w:bookmarkStart w:id="16" w:name="_Toc167372553"/>
      <w:bookmarkStart w:id="17" w:name="_Toc233182312"/>
      <w:bookmarkStart w:id="18" w:name="_Toc42775705"/>
      <w:bookmarkStart w:id="19" w:name="_Toc50122652"/>
      <w:r>
        <w:rPr>
          <w:rFonts w:cs="Times New Roman" w:ascii="Times New Roman" w:hAnsi="Times New Roman"/>
          <w:b/>
          <w:bCs/>
          <w:iCs/>
          <w:color w:val="auto"/>
        </w:rPr>
        <w:t xml:space="preserve">Состав </w:t>
      </w:r>
      <w:bookmarkEnd w:id="17"/>
      <w:bookmarkEnd w:id="18"/>
      <w:bookmarkEnd w:id="19"/>
      <w:r>
        <w:rPr>
          <w:rFonts w:cs="Times New Roman" w:ascii="Times New Roman" w:hAnsi="Times New Roman"/>
          <w:b/>
          <w:bCs/>
          <w:iCs/>
          <w:color w:val="auto"/>
        </w:rPr>
        <w:t>оборудования и структура существую</w:t>
      </w:r>
      <w:bookmarkEnd w:id="15"/>
      <w:bookmarkEnd w:id="16"/>
      <w:r>
        <w:rPr>
          <w:rFonts w:cs="Times New Roman" w:ascii="Times New Roman" w:hAnsi="Times New Roman"/>
          <w:b/>
          <w:bCs/>
          <w:iCs/>
          <w:color w:val="auto"/>
        </w:rPr>
        <w:t>щего узла учета газа ГРП № 1.</w:t>
      </w:r>
    </w:p>
    <w:p>
      <w:pPr>
        <w:pStyle w:val="Normal"/>
        <w:keepNext w:val="true"/>
        <w:suppressAutoHyphens w:val="false"/>
        <w:spacing w:before="120" w:after="240"/>
        <w:rPr>
          <w:color w:val="auto"/>
        </w:rPr>
      </w:pPr>
      <w:r>
        <w:rPr>
          <w:b/>
          <w:iCs/>
          <w:color w:val="auto"/>
          <w:sz w:val="24"/>
          <w:szCs w:val="24"/>
        </w:rPr>
        <w:t xml:space="preserve">Таблица </w:t>
      </w:r>
      <w:bookmarkStart w:id="20" w:name="Табл_Перечень_сущ_подсистем"/>
      <w:r>
        <w:rPr>
          <w:b/>
          <w:iCs/>
          <w:color w:val="auto"/>
          <w:sz w:val="24"/>
          <w:szCs w:val="24"/>
        </w:rPr>
        <w:t>1</w:t>
      </w:r>
      <w:bookmarkEnd w:id="20"/>
      <w:r>
        <w:rPr>
          <w:b/>
          <w:iCs/>
          <w:color w:val="auto"/>
          <w:sz w:val="24"/>
          <w:szCs w:val="24"/>
        </w:rPr>
        <w:t xml:space="preserve"> – Перечень объектов Заказчика (состав оборудования и систем)</w:t>
      </w:r>
    </w:p>
    <w:tbl>
      <w:tblPr>
        <w:tblW w:w="10353" w:type="dxa"/>
        <w:jc w:val="left"/>
        <w:tblInd w:w="119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1e0" w:noVBand="0" w:noHBand="0" w:lastColumn="1" w:firstColumn="1" w:lastRow="1" w:firstRow="1"/>
      </w:tblPr>
      <w:tblGrid>
        <w:gridCol w:w="730"/>
        <w:gridCol w:w="2490"/>
        <w:gridCol w:w="7133"/>
      </w:tblGrid>
      <w:tr>
        <w:trPr>
          <w:tblHeader w:val="true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 w:before="120" w:after="12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№ </w:t>
            </w:r>
            <w:r>
              <w:rPr>
                <w:b/>
                <w:color w:val="auto"/>
                <w:sz w:val="24"/>
                <w:szCs w:val="24"/>
              </w:rPr>
              <w:t>п</w:t>
            </w:r>
            <w:r>
              <w:rPr>
                <w:b/>
                <w:color w:val="auto"/>
                <w:sz w:val="24"/>
                <w:szCs w:val="24"/>
                <w:lang w:val="en-US"/>
              </w:rPr>
              <w:t>/</w:t>
            </w:r>
            <w:r>
              <w:rPr>
                <w:b/>
                <w:color w:val="auto"/>
                <w:sz w:val="24"/>
                <w:szCs w:val="24"/>
              </w:rPr>
              <w:t>п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 w:before="120" w:after="12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Обозначение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 w:before="120" w:after="12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Наименование (Описание)</w:t>
            </w:r>
          </w:p>
        </w:tc>
      </w:tr>
      <w:tr>
        <w:trPr/>
        <w:tc>
          <w:tcPr>
            <w:tcW w:w="10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Помещение ГРП № 1</w:t>
            </w:r>
          </w:p>
        </w:tc>
      </w:tr>
      <w:tr>
        <w:trPr/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false"/>
              <w:spacing w:lineRule="auto" w:line="288"/>
              <w:jc w:val="left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Датчик расхода газа ДРГ.М 5000</w:t>
            </w:r>
          </w:p>
        </w:tc>
        <w:tc>
          <w:tcPr>
            <w:tcW w:w="7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Датчик расхода газа типа ДРГ.М 5000, диапазон расхода в рабочих условиях (250-5000) м3/ч, выходной сигнал – числоимпульсный (пассивный), АО ИПФ «СИБНЕФТЕАВТОМАТИКА», г. Тюмень.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false"/>
              <w:spacing w:lineRule="auto" w:line="288" w:before="0" w:after="0"/>
              <w:contextualSpacing/>
              <w:jc w:val="left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Датчик температуры газа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Термометр сопротивления платиновый, типа ТСП 100, градуировка 100П, класс А.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uppressAutoHyphens w:val="false"/>
              <w:spacing w:lineRule="auto" w:line="288" w:before="0" w:after="0"/>
              <w:contextualSpacing/>
              <w:jc w:val="left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Датчик давления газа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Преобразователь давления измерительный типа АИР-20Exd/М2, класс точности В, диапазон измерений (0-1,6) МРа, диапазон унифицированного выходного сигнала (4-20) мА, НПП «ЭЛЕМЕР», г. Менделеево, московская область.</w:t>
            </w:r>
          </w:p>
        </w:tc>
      </w:tr>
      <w:tr>
        <w:trPr/>
        <w:tc>
          <w:tcPr>
            <w:tcW w:w="1035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eastAsia="ru-RU"/>
              </w:rPr>
              <w:t>Помещение КИП и А ГРП № 1</w:t>
            </w:r>
          </w:p>
        </w:tc>
      </w:tr>
      <w:tr>
        <w:trPr/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</w:numPr>
              <w:suppressAutoHyphens w:val="false"/>
              <w:bidi w:val="0"/>
              <w:spacing w:lineRule="auto" w:line="288" w:before="0" w:after="0"/>
              <w:ind w:left="737" w:right="170" w:hanging="51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Блок питания датчика расхода</w:t>
            </w:r>
          </w:p>
        </w:tc>
        <w:tc>
          <w:tcPr>
            <w:tcW w:w="7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Блок питания </w:t>
            </w:r>
            <w:r>
              <w:rPr>
                <w:rFonts w:eastAsia="Times New Roman" w:cs="Times New Roman" w:ascii="Liberation Serif" w:hAnsi="Liberation Serif"/>
                <w:color w:val="auto"/>
                <w:sz w:val="24"/>
                <w:szCs w:val="24"/>
              </w:rPr>
              <w:t>~</w:t>
            </w:r>
            <w:r>
              <w:rPr>
                <w:color w:val="auto"/>
                <w:sz w:val="24"/>
                <w:szCs w:val="24"/>
              </w:rPr>
              <w:t>220 В/=24 В, производство Pxoenix Contact, Германия.</w:t>
            </w:r>
          </w:p>
        </w:tc>
      </w:tr>
      <w:tr>
        <w:trPr/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88" w:before="0" w:after="0"/>
              <w:ind w:left="737" w:right="113" w:hanging="51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Клеммная коробка</w:t>
            </w:r>
          </w:p>
        </w:tc>
        <w:tc>
          <w:tcPr>
            <w:tcW w:w="7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Металлическая соединительная клеммная коробка, 18 ламелей.</w:t>
            </w:r>
          </w:p>
        </w:tc>
      </w:tr>
      <w:tr>
        <w:trPr/>
        <w:tc>
          <w:tcPr>
            <w:tcW w:w="10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Щит ГРП.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false"/>
              <w:spacing w:lineRule="auto" w:line="288"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Корректор СПГ761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Корректор типа СПГ761 модель 761.2, НПФ «ЛОГИКА», Санкт-Петербург.</w:t>
            </w:r>
          </w:p>
        </w:tc>
      </w:tr>
      <w:tr>
        <w:trPr/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uppressAutoHyphens w:val="false"/>
              <w:spacing w:lineRule="auto" w:line="288"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Блок питания датчика давления.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88"/>
              <w:jc w:val="both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Блок питания типа 4 БП 36, ~220 В/=36 В, четырехканальный, НПП «ЭЛЕМЕР», г. Менделеево, московская область.</w:t>
            </w:r>
          </w:p>
        </w:tc>
      </w:tr>
    </w:tbl>
    <w:p>
      <w:pPr>
        <w:pStyle w:val="ListParagraph"/>
        <w:keepNext w:val="true"/>
        <w:numPr>
          <w:ilvl w:val="2"/>
          <w:numId w:val="3"/>
        </w:numPr>
        <w:tabs>
          <w:tab w:val="clear" w:pos="708"/>
          <w:tab w:val="left" w:pos="709" w:leader="none"/>
        </w:tabs>
        <w:spacing w:lineRule="auto" w:line="288" w:before="240" w:after="0"/>
        <w:ind w:left="1224" w:hanging="1224"/>
        <w:contextualSpacing/>
        <w:jc w:val="both"/>
        <w:outlineLvl w:val="1"/>
        <w:rPr>
          <w:color w:val="auto"/>
        </w:rPr>
      </w:pPr>
      <w:r>
        <w:rPr>
          <w:rFonts w:cs="Times New Roman" w:ascii="Times New Roman" w:hAnsi="Times New Roman"/>
          <w:b/>
          <w:bCs/>
          <w:iCs/>
          <w:color w:val="auto"/>
        </w:rPr>
        <w:t>Состав и конфигурация существующего узла учета газа.</w:t>
      </w:r>
    </w:p>
    <w:p>
      <w:pPr>
        <w:pStyle w:val="Normal"/>
        <w:suppressAutoHyphens w:val="false"/>
        <w:jc w:val="both"/>
        <w:rPr>
          <w:color w:val="auto"/>
          <w:sz w:val="24"/>
        </w:rPr>
      </w:pPr>
      <w:bookmarkStart w:id="21" w:name="_Hlk146799901"/>
      <w:bookmarkEnd w:id="21"/>
      <w:r>
        <w:rPr>
          <w:color w:val="auto"/>
          <w:sz w:val="24"/>
          <w:szCs w:val="24"/>
        </w:rPr>
        <w:t xml:space="preserve">Датчик расхода газа ДРГ.М 5000 (далее датчик расхода), датчик температуры газа (далее датчик температуры), и датчик давления газа (далее датчик давления), установлены на газопроводе Dy-150 мм, в помещении ГРП 1. Монтажная схема существующего узла учета газа приведена в Приложении 1. </w:t>
      </w:r>
    </w:p>
    <w:p>
      <w:pPr>
        <w:pStyle w:val="Normal"/>
        <w:suppressAutoHyphens w:val="false"/>
        <w:jc w:val="both"/>
        <w:rPr>
          <w:color w:val="auto"/>
          <w:sz w:val="24"/>
        </w:rPr>
      </w:pPr>
      <w:r>
        <w:rPr>
          <w:color w:val="auto"/>
          <w:sz w:val="24"/>
        </w:rPr>
        <w:t xml:space="preserve">Блок питания датчика расхода установлен в смежном с помещением ГРП 1, помещении КИП и А. </w:t>
      </w:r>
    </w:p>
    <w:p>
      <w:pPr>
        <w:pStyle w:val="Normal"/>
        <w:suppressAutoHyphens w:val="false"/>
        <w:jc w:val="both"/>
        <w:rPr>
          <w:color w:val="auto"/>
          <w:sz w:val="24"/>
        </w:rPr>
      </w:pPr>
      <w:r>
        <w:rPr>
          <w:color w:val="auto"/>
          <w:sz w:val="24"/>
        </w:rPr>
        <w:t>Блок питания датчика давления установлен в щите ГРП.</w:t>
      </w:r>
    </w:p>
    <w:p>
      <w:pPr>
        <w:pStyle w:val="Normal"/>
        <w:suppressAutoHyphens w:val="false"/>
        <w:jc w:val="both"/>
        <w:rPr>
          <w:color w:val="auto"/>
          <w:sz w:val="24"/>
        </w:rPr>
      </w:pPr>
      <w:r>
        <w:rPr>
          <w:color w:val="auto"/>
          <w:sz w:val="24"/>
        </w:rPr>
        <w:t xml:space="preserve">Сигналы от датчиков расхода и давления, по двухпроводным линиям связи поступают на Корректор СПГ761, установленный на щите ГРП. Сигнал от датчика температуры по четырехпроводной линии связи также поступает на Корректор СПГ761. </w:t>
      </w:r>
    </w:p>
    <w:p>
      <w:pPr>
        <w:pStyle w:val="Normal"/>
        <w:suppressAutoHyphens w:val="false"/>
        <w:jc w:val="both"/>
        <w:rPr>
          <w:color w:val="auto"/>
          <w:sz w:val="24"/>
        </w:rPr>
      </w:pPr>
      <w:r>
        <w:rPr>
          <w:color w:val="auto"/>
          <w:sz w:val="24"/>
        </w:rPr>
        <w:t>Все линии связи проходят через клеммную коробку, установленную в помещении КИП и А ГРП № 1.</w:t>
      </w:r>
    </w:p>
    <w:p>
      <w:pPr>
        <w:pStyle w:val="Normal"/>
        <w:suppressAutoHyphens w:val="false"/>
        <w:rPr>
          <w:color w:val="auto"/>
          <w:sz w:val="24"/>
          <w:lang w:eastAsia="x-none"/>
        </w:rPr>
      </w:pPr>
      <w:r>
        <w:rPr>
          <w:color w:val="auto"/>
          <w:sz w:val="24"/>
          <w:lang w:eastAsia="x-none"/>
        </w:rPr>
      </w:r>
    </w:p>
    <w:p>
      <w:pPr>
        <w:pStyle w:val="ListParagraph"/>
        <w:numPr>
          <w:ilvl w:val="2"/>
          <w:numId w:val="3"/>
        </w:numPr>
        <w:suppressAutoHyphens w:val="false"/>
        <w:spacing w:lineRule="auto" w:line="276"/>
        <w:ind w:left="709" w:hanging="709"/>
        <w:rPr>
          <w:color w:val="auto"/>
        </w:rPr>
      </w:pPr>
      <w:r>
        <w:rPr>
          <w:rFonts w:cs="Times New Roman" w:ascii="Times New Roman" w:hAnsi="Times New Roman"/>
          <w:b/>
          <w:iCs/>
          <w:color w:val="auto"/>
        </w:rPr>
        <w:t>Эксплуатирующая организация</w:t>
      </w:r>
    </w:p>
    <w:p>
      <w:pPr>
        <w:pStyle w:val="Normal"/>
        <w:suppressAutoHyphens w:val="false"/>
        <w:spacing w:lineRule="auto" w:line="276"/>
        <w:rPr>
          <w:color w:val="auto"/>
        </w:rPr>
      </w:pPr>
      <w:r>
        <w:rPr>
          <w:iCs/>
          <w:color w:val="auto"/>
          <w:sz w:val="24"/>
          <w:szCs w:val="24"/>
        </w:rPr>
        <w:t xml:space="preserve"> </w:t>
      </w:r>
      <w:r>
        <w:rPr>
          <w:iCs/>
          <w:color w:val="auto"/>
          <w:sz w:val="24"/>
          <w:szCs w:val="24"/>
        </w:rPr>
        <w:tab/>
        <w:t>Все технические решения на этапах разработки ТП, и реализации, должны быть согласованы с эксплуатирующей организацией филиала ПАО «Якутскэнерго» - «Якутская ТЭЦ».</w:t>
      </w:r>
    </w:p>
    <w:p>
      <w:pPr>
        <w:pStyle w:val="Heading4"/>
        <w:numPr>
          <w:ilvl w:val="1"/>
          <w:numId w:val="3"/>
        </w:numPr>
        <w:jc w:val="both"/>
        <w:rPr>
          <w:color w:val="auto"/>
        </w:rPr>
      </w:pPr>
      <w:bookmarkStart w:id="22" w:name="_Toc167372555"/>
      <w:r>
        <w:rPr>
          <w:color w:val="auto"/>
        </w:rPr>
        <w:t xml:space="preserve">Информация в отношении исполнения договора, </w:t>
      </w:r>
      <w:bookmarkStart w:id="23" w:name="_Hlk46492347"/>
      <w:r>
        <w:rPr>
          <w:color w:val="auto"/>
        </w:rPr>
        <w:t xml:space="preserve">которая должна быть учтена при подготовке заявки </w:t>
      </w:r>
      <w:bookmarkEnd w:id="23"/>
      <w:r>
        <w:rPr>
          <w:color w:val="auto"/>
        </w:rPr>
        <w:t xml:space="preserve">(в том числе перечень ресурсов, услуг и документов, предоставляемых </w:t>
      </w:r>
      <w:r>
        <w:rPr>
          <w:color w:val="auto"/>
          <w:lang w:val="ru-RU"/>
        </w:rPr>
        <w:t>заказчиком</w:t>
      </w:r>
      <w:r>
        <w:rPr>
          <w:color w:val="auto"/>
        </w:rPr>
        <w:t xml:space="preserve"> на этапе исполнения договора)</w:t>
      </w:r>
      <w:bookmarkEnd w:id="12"/>
      <w:bookmarkEnd w:id="13"/>
      <w:bookmarkEnd w:id="22"/>
      <w:r>
        <w:rPr>
          <w:color w:val="auto"/>
          <w:lang w:val="ru-RU"/>
        </w:rPr>
        <w:t xml:space="preserve"> </w:t>
      </w:r>
    </w:p>
    <w:p>
      <w:pPr>
        <w:pStyle w:val="Normal"/>
        <w:jc w:val="both"/>
        <w:rPr>
          <w:color w:val="auto"/>
        </w:rPr>
      </w:pPr>
      <w:r>
        <w:rPr>
          <w:color w:val="auto"/>
          <w:sz w:val="24"/>
          <w:szCs w:val="24"/>
        </w:rPr>
        <w:t>Согласно ч.1 ст.10 федерального закона от 21.07.2011 №256-ФЗ «О безопасности объектов ТЭК» работу не вправе выполнять лица:</w:t>
      </w:r>
    </w:p>
    <w:p>
      <w:pPr>
        <w:pStyle w:val="Normal"/>
        <w:jc w:val="both"/>
        <w:rPr>
          <w:color w:val="auto"/>
        </w:rPr>
      </w:pPr>
      <w:r>
        <w:rPr>
          <w:color w:val="auto"/>
          <w:sz w:val="24"/>
          <w:szCs w:val="24"/>
        </w:rPr>
        <w:t>1.5.1. Имеющие неснятую или непогашенную судимость за совершение умышленного преступления;</w:t>
      </w:r>
    </w:p>
    <w:p>
      <w:pPr>
        <w:pStyle w:val="Normal"/>
        <w:jc w:val="both"/>
        <w:rPr>
          <w:color w:val="auto"/>
        </w:rPr>
      </w:pPr>
      <w:r>
        <w:rPr>
          <w:color w:val="auto"/>
          <w:sz w:val="24"/>
          <w:szCs w:val="24"/>
        </w:rPr>
        <w:t>1.5.2. Состоящие на учете в учреждениях органов здравоохранения по поводу психического заболевания, алкоголизма или наркомании;</w:t>
      </w:r>
    </w:p>
    <w:p>
      <w:pPr>
        <w:pStyle w:val="Normal"/>
        <w:jc w:val="both"/>
        <w:rPr>
          <w:color w:val="auto"/>
        </w:rPr>
      </w:pPr>
      <w:r>
        <w:rPr>
          <w:color w:val="auto"/>
          <w:sz w:val="24"/>
          <w:szCs w:val="24"/>
        </w:rPr>
        <w:t>1.5.3.  Досрочно прекратившие полномочия по государственной должности или уволенные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трех лет;</w:t>
      </w:r>
    </w:p>
    <w:p>
      <w:pPr>
        <w:pStyle w:val="Normal"/>
        <w:jc w:val="both"/>
        <w:rPr>
          <w:color w:val="auto"/>
        </w:rPr>
      </w:pPr>
      <w:bookmarkStart w:id="24" w:name="_Toc46743510"/>
      <w:bookmarkStart w:id="25" w:name="_Toc50125126"/>
      <w:bookmarkStart w:id="26" w:name="_Hlk482097611"/>
      <w:bookmarkEnd w:id="24"/>
      <w:bookmarkEnd w:id="25"/>
      <w:bookmarkEnd w:id="26"/>
      <w:r>
        <w:rPr>
          <w:color w:val="auto"/>
          <w:sz w:val="24"/>
          <w:szCs w:val="24"/>
        </w:rPr>
        <w:t xml:space="preserve">1.5.4 Все организационные вопросы, возникающие в процессе выполнения Работ, Подрядчик решает самостоятельно с начальником ПТО Заказчика, все технические вопросы, возникающие в процессе оказания Услуг, Подрядчик решает самостоятельно с техническим куратором от эксплуатирующей организации филиала ПАО «Якутскэнерго» - «Якутская ТЭЦ» </w:t>
      </w:r>
    </w:p>
    <w:p>
      <w:pPr>
        <w:pStyle w:val="Normal"/>
        <w:jc w:val="both"/>
        <w:rPr>
          <w:color w:val="auto"/>
        </w:rPr>
      </w:pPr>
      <w:r>
        <w:rPr>
          <w:color w:val="auto"/>
          <w:sz w:val="24"/>
          <w:szCs w:val="24"/>
        </w:rPr>
        <w:t>1.5.5 Подрядчик обязан устранять замечания, предъявленные ему Заказчиком и Эксплуатационным персоналом в рамках контроля за осуществлением их деятельности на территории Якутской ТЭЦ.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olor w:val="auto"/>
        </w:rPr>
      </w:pPr>
      <w:bookmarkStart w:id="27" w:name="_Toc167372556"/>
      <w:bookmarkStart w:id="28" w:name="_Toc51339693"/>
      <w:r>
        <w:rPr>
          <w:iCs/>
          <w:color w:val="auto"/>
        </w:rPr>
        <w:t>Требования к продукции</w:t>
      </w:r>
      <w:bookmarkEnd w:id="27"/>
      <w:bookmarkEnd w:id="28"/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29" w:name="_Toc167372557"/>
      <w:r>
        <w:rPr>
          <w:color w:val="auto"/>
        </w:rPr>
        <w:t xml:space="preserve">Требования к объемам и срокам </w:t>
      </w:r>
      <w:r>
        <w:rPr>
          <w:color w:val="auto"/>
          <w:lang w:val="ru-RU"/>
        </w:rPr>
        <w:t>выполнения работ</w:t>
      </w:r>
      <w:bookmarkEnd w:id="29"/>
    </w:p>
    <w:p>
      <w:pPr>
        <w:pStyle w:val="Heading3"/>
        <w:numPr>
          <w:ilvl w:val="2"/>
          <w:numId w:val="3"/>
        </w:numPr>
        <w:spacing w:before="0" w:after="60"/>
        <w:ind w:left="426" w:hanging="426"/>
        <w:rPr>
          <w:color w:val="auto"/>
        </w:rPr>
      </w:pPr>
      <w:bookmarkStart w:id="30" w:name="_Toc167372558"/>
      <w:r>
        <w:rPr>
          <w:color w:val="auto"/>
          <w:lang w:val="ru-RU"/>
        </w:rPr>
        <w:t>Требования к видам и объемам работ</w:t>
      </w:r>
      <w:bookmarkEnd w:id="30"/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color w:val="auto"/>
        </w:rPr>
      </w:pPr>
      <w:bookmarkStart w:id="31" w:name="_Toc167372559"/>
      <w:bookmarkStart w:id="32" w:name="_Toc51339695"/>
      <w:r>
        <w:rPr>
          <w:color w:val="auto"/>
          <w:sz w:val="24"/>
          <w:szCs w:val="24"/>
        </w:rPr>
        <w:t xml:space="preserve">Таблица </w:t>
      </w:r>
      <w:r>
        <w:rPr>
          <w:color w:val="auto"/>
          <w:sz w:val="24"/>
          <w:szCs w:val="24"/>
          <w:lang w:val="ru-RU"/>
        </w:rPr>
        <w:t>2.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  <w:lang w:val="ru-RU"/>
        </w:rPr>
        <w:t xml:space="preserve">Перечень </w:t>
      </w:r>
      <w:bookmarkEnd w:id="32"/>
      <w:r>
        <w:rPr>
          <w:color w:val="auto"/>
          <w:sz w:val="24"/>
          <w:szCs w:val="24"/>
          <w:lang w:val="ru-RU"/>
        </w:rPr>
        <w:t>и объем выполняемых работ</w:t>
      </w:r>
      <w:bookmarkEnd w:id="31"/>
    </w:p>
    <w:tbl>
      <w:tblPr>
        <w:tblW w:w="9952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2"/>
        <w:gridCol w:w="4998"/>
        <w:gridCol w:w="1995"/>
        <w:gridCol w:w="2116"/>
      </w:tblGrid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п/п</w:t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Предпроектное обследование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Комплекс работ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Разработка ТП на модернизацию узла коммерческого учета газа ГРП № 1, Якутской ТЭЦ.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Комплекс работ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Разработка комплекта сметной документации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Комплекс работ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</w:tbl>
    <w:p>
      <w:pPr>
        <w:pStyle w:val="Heading3"/>
        <w:numPr>
          <w:ilvl w:val="2"/>
          <w:numId w:val="3"/>
        </w:numPr>
        <w:ind w:left="426" w:hanging="426"/>
        <w:rPr>
          <w:color w:val="auto"/>
        </w:rPr>
      </w:pPr>
      <w:bookmarkStart w:id="33" w:name="_Toc167372560"/>
      <w:bookmarkStart w:id="34" w:name="_Toc51339696"/>
      <w:r>
        <w:rPr>
          <w:color w:val="auto"/>
          <w:lang w:val="ru-RU"/>
        </w:rPr>
        <w:t xml:space="preserve">Требования </w:t>
      </w:r>
      <w:bookmarkEnd w:id="34"/>
      <w:r>
        <w:rPr>
          <w:color w:val="auto"/>
          <w:lang w:val="ru-RU"/>
        </w:rPr>
        <w:t>к срокам выполнения работ</w:t>
      </w:r>
      <w:bookmarkEnd w:id="33"/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color w:val="auto"/>
        </w:rPr>
      </w:pPr>
      <w:bookmarkStart w:id="35" w:name="_Toc167372561"/>
      <w:bookmarkStart w:id="36" w:name="_Toc50125127"/>
      <w:bookmarkStart w:id="37" w:name="_Toc51339697"/>
      <w:bookmarkStart w:id="38" w:name="_Toc501251261"/>
      <w:bookmarkEnd w:id="38"/>
      <w:r>
        <w:rPr>
          <w:color w:val="auto"/>
          <w:sz w:val="24"/>
          <w:szCs w:val="24"/>
        </w:rPr>
        <w:t xml:space="preserve">Таблица </w:t>
      </w:r>
      <w:r>
        <w:rPr>
          <w:color w:val="auto"/>
          <w:sz w:val="24"/>
          <w:szCs w:val="24"/>
          <w:lang w:val="ru-RU"/>
        </w:rPr>
        <w:t>3</w:t>
      </w:r>
      <w:r>
        <w:rPr>
          <w:color w:val="auto"/>
          <w:sz w:val="24"/>
          <w:szCs w:val="24"/>
        </w:rPr>
        <w:t xml:space="preserve">. </w:t>
      </w:r>
      <w:bookmarkStart w:id="39" w:name="_Hlk50465284"/>
      <w:r>
        <w:rPr>
          <w:color w:val="auto"/>
          <w:sz w:val="24"/>
          <w:szCs w:val="24"/>
        </w:rPr>
        <w:t xml:space="preserve">Требования по срокам </w:t>
      </w:r>
      <w:bookmarkEnd w:id="36"/>
      <w:bookmarkEnd w:id="37"/>
      <w:bookmarkEnd w:id="39"/>
      <w:r>
        <w:rPr>
          <w:color w:val="auto"/>
          <w:sz w:val="24"/>
          <w:szCs w:val="24"/>
          <w:lang w:val="ru-RU"/>
        </w:rPr>
        <w:t>выполнения работ</w:t>
      </w:r>
      <w:bookmarkEnd w:id="35"/>
    </w:p>
    <w:tbl>
      <w:tblPr>
        <w:tblW w:w="9923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3967"/>
        <w:gridCol w:w="2409"/>
        <w:gridCol w:w="2694"/>
      </w:tblGrid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№ </w:t>
            </w:r>
            <w:r>
              <w:rPr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keepNext w:val="false"/>
              <w:widowControl w:val="false"/>
              <w:spacing w:before="40" w:after="4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8"/>
              <w:keepNext w:val="false"/>
              <w:widowControl w:val="false"/>
              <w:spacing w:before="40" w:after="40"/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Предпроектное обследование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15 дней с даты подписания договора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Разработка проекта на модернизацию узла коммерческого учета газа ГРП № 1, Якутской ТЭЦ.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 даты завершения</w:t>
            </w:r>
          </w:p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этапа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30 дней с даты завершения этапа 1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bidi w:val="0"/>
              <w:spacing w:before="0" w:after="0"/>
              <w:ind w:left="397" w:right="0" w:hanging="34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Разработка сметной документации</w:t>
            </w:r>
            <w:bookmarkStart w:id="40" w:name="_GoBack"/>
            <w:bookmarkEnd w:id="40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 даты завершения</w:t>
            </w:r>
          </w:p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этапа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15 дней с даты завершения 2, но не позднее 28.12.2026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41" w:name="_Toc51339698"/>
      <w:bookmarkStart w:id="42" w:name="_Toc167372562"/>
      <w:r>
        <w:rPr>
          <w:color w:val="auto"/>
        </w:rPr>
        <w:t xml:space="preserve">Требования к </w:t>
      </w:r>
      <w:r>
        <w:rPr>
          <w:color w:val="auto"/>
          <w:lang w:val="ru-RU"/>
        </w:rPr>
        <w:t>качеству работ</w:t>
      </w:r>
      <w:bookmarkEnd w:id="42"/>
    </w:p>
    <w:p>
      <w:pPr>
        <w:pStyle w:val="Heading1"/>
        <w:keepLines/>
        <w:tabs>
          <w:tab w:val="clear" w:pos="0"/>
        </w:tabs>
        <w:spacing w:before="0" w:after="60"/>
        <w:ind w:left="0" w:hanging="0"/>
        <w:rPr>
          <w:color w:val="auto"/>
        </w:rPr>
      </w:pPr>
      <w:bookmarkStart w:id="43" w:name="_Toc167372563"/>
      <w:r>
        <w:rPr>
          <w:color w:val="auto"/>
          <w:sz w:val="24"/>
          <w:szCs w:val="24"/>
        </w:rPr>
        <w:t>Таблица </w:t>
      </w:r>
      <w:r>
        <w:rPr>
          <w:color w:val="auto"/>
          <w:sz w:val="24"/>
          <w:szCs w:val="24"/>
          <w:lang w:val="ru-RU"/>
        </w:rPr>
        <w:t>4</w:t>
      </w:r>
      <w:r>
        <w:rPr>
          <w:color w:val="auto"/>
          <w:sz w:val="24"/>
          <w:szCs w:val="24"/>
        </w:rPr>
        <w:t xml:space="preserve">. Требования к </w:t>
      </w:r>
      <w:bookmarkEnd w:id="41"/>
      <w:r>
        <w:rPr>
          <w:color w:val="auto"/>
          <w:sz w:val="24"/>
          <w:szCs w:val="24"/>
          <w:lang w:val="ru-RU"/>
        </w:rPr>
        <w:t>качеству работ</w:t>
      </w:r>
      <w:bookmarkEnd w:id="43"/>
      <w:r>
        <w:rPr>
          <w:color w:val="auto"/>
          <w:sz w:val="24"/>
          <w:szCs w:val="24"/>
        </w:rPr>
        <w:t xml:space="preserve"> </w:t>
      </w:r>
    </w:p>
    <w:tbl>
      <w:tblPr>
        <w:tblStyle w:val="2f0"/>
        <w:tblW w:w="1516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81"/>
        <w:gridCol w:w="2234"/>
        <w:gridCol w:w="4808"/>
        <w:gridCol w:w="10"/>
        <w:gridCol w:w="2012"/>
        <w:gridCol w:w="10"/>
        <w:gridCol w:w="2501"/>
        <w:gridCol w:w="11"/>
        <w:gridCol w:w="2363"/>
        <w:gridCol w:w="236"/>
      </w:tblGrid>
      <w:tr>
        <w:trPr/>
        <w:tc>
          <w:tcPr>
            <w:tcW w:w="98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223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Наименование параметра</w:t>
            </w:r>
          </w:p>
        </w:tc>
        <w:tc>
          <w:tcPr>
            <w:tcW w:w="4818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Требование Заказчика</w:t>
            </w:r>
          </w:p>
        </w:tc>
        <w:tc>
          <w:tcPr>
            <w:tcW w:w="453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59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98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818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0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51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59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48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202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51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59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false"/>
              <w:spacing w:before="60" w:after="60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Требования к выполнению работ и оказанию услуг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Стадийность, порядок проектирования во взаимосвязи с процессом модернизации системы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81"/>
              <w:contextualSpacing/>
              <w:jc w:val="center"/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Предпроектное обследование</w:t>
            </w:r>
          </w:p>
        </w:tc>
        <w:tc>
          <w:tcPr>
            <w:tcW w:w="480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Результатом является отчет о ППО.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7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81"/>
              <w:contextualSpacing/>
              <w:jc w:val="center"/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Разработка проекта на модернизацию узла коммерческого учета газа ГРП № 1, Якутской ТЭЦ.</w:t>
            </w:r>
          </w:p>
        </w:tc>
        <w:tc>
          <w:tcPr>
            <w:tcW w:w="480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Выполняется на основании отчета о ППО. Результатом является проект (комплект документов).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7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81"/>
              <w:contextualSpacing/>
              <w:jc w:val="center"/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Разработка комплекта сметной документации</w:t>
            </w:r>
          </w:p>
        </w:tc>
        <w:tc>
          <w:tcPr>
            <w:tcW w:w="480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Результатом является комплект сметной документации.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7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Общие требования к разрабатываемой документации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suppressAutoHyphens w:val="false"/>
              <w:spacing w:before="60" w:after="60"/>
              <w:ind w:left="25" w:hanging="0"/>
              <w:contextualSpacing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  <w:t>1.2.1.</w:t>
            </w:r>
          </w:p>
        </w:tc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Соответствие разрабатываемой документации межгосударственным и национальным стандартам и нормативным документам</w:t>
            </w:r>
          </w:p>
        </w:tc>
        <w:tc>
          <w:tcPr>
            <w:tcW w:w="4818" w:type="dxa"/>
            <w:gridSpan w:val="2"/>
            <w:tcBorders/>
            <w:vAlign w:val="center"/>
          </w:tcPr>
          <w:p>
            <w:pPr>
              <w:pStyle w:val="Heading1"/>
              <w:keepNext w:val="true"/>
              <w:widowControl w:val="false"/>
              <w:suppressAutoHyphens w:val="true"/>
              <w:bidi w:val="0"/>
              <w:spacing w:before="120" w:after="60"/>
              <w:ind w:left="0" w:right="0" w:hanging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П</w:t>
            </w:r>
            <w:bookmarkStart w:id="44" w:name="sub_1000"/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равила учета газа (утв. </w:t>
            </w:r>
            <w:hyperlink w:anchor="sub_0">
              <w:r>
                <w:rPr>
                  <w:rStyle w:val="Style24"/>
                  <w:rFonts w:eastAsia="Times New Roman" w:cs="Times New Roman"/>
                  <w:b w:val="false"/>
                  <w:bCs w:val="false"/>
                  <w:color w:val="auto"/>
                  <w:kern w:val="0"/>
                  <w:sz w:val="24"/>
                  <w:szCs w:val="24"/>
                  <w:lang w:val="ru-RU" w:eastAsia="ru-RU" w:bidi="ar-SA"/>
                </w:rPr>
                <w:t>приказом</w:t>
              </w:r>
            </w:hyperlink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Министерства энергетики РФ от 30 декабря 2013 г. № 961</w:t>
            </w:r>
            <w:bookmarkEnd w:id="44"/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4"/>
                <w:szCs w:val="24"/>
                <w:lang w:val="ru-RU" w:eastAsia="ru-RU" w:bidi="ar-SA"/>
              </w:rPr>
              <w:t>). С изменениями и дополнениями от 26 декабря 2014 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ГОСТ 2.102–2013 «Единая система конструкторской документации. Виды и комплектность конструкторских документов»;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ГОСТ Р 2.105–2019 «Единая система конструкторской документации. Общие требования к текстовым документам»;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ГОСТ Р 2.106–2019 «Единая система конструкторской документации. Текстовые документы».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suppressAutoHyphens w:val="false"/>
              <w:spacing w:before="60" w:after="60"/>
              <w:ind w:left="25" w:hanging="0"/>
              <w:contextualSpacing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rFonts w:eastAsia="Calibri"/>
                <w:bCs/>
                <w:color w:val="auto"/>
                <w:kern w:val="0"/>
                <w:sz w:val="24"/>
                <w:szCs w:val="24"/>
                <w:lang w:val="ru-RU" w:bidi="ar-SA"/>
              </w:rPr>
              <w:t>1.2.2.</w:t>
            </w:r>
          </w:p>
        </w:tc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Соответствие разрабатываемой документации нормативно-техническим документам (НТД)</w:t>
            </w:r>
          </w:p>
        </w:tc>
        <w:tc>
          <w:tcPr>
            <w:tcW w:w="481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ЭВ-200.000.000.000.00РЭ17.04.2018V4.1.5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ПРЕОБРАЗОВАТЕЛИ РАСХОДА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ВИХРЕВЫЕ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«ЭМИС-ВИХРЬ 200 (ЭВ-200)»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Модификации ЭВ-200, ЭВ-205,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ЭВ-200-ППД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46" w:leader="none"/>
              </w:tabs>
              <w:suppressAutoHyphens w:val="false"/>
              <w:spacing w:before="60" w:after="0"/>
              <w:jc w:val="both"/>
              <w:textAlignment w:val="baseline"/>
              <w:rPr/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РУКОВОДСТВО ПО ЭКСПЛУАТАЦИИ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Требования к способам и технологиям выполнения работ и оказания услуг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99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Общие требования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к проекту.</w:t>
            </w:r>
          </w:p>
        </w:tc>
        <w:tc>
          <w:tcPr>
            <w:tcW w:w="481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В проекте должны быть соблюдены минимальные длины прямых участков газопровода до и после датчика расхода (преобразователя вихревого) типа ЭМИС-ВИХРЬ 200 указанные в Приложении № 2, (10ДУ до и 5ДУ после).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Присоединение датчика расхода к газопроводу должно быть выполнено с применением комплекта монтажных частей входящего в комплект поставки (Приложение № 2).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При установке вне помещения должна быть предусмотрена защита датчика расхода от атмосферных осадков и доступа к нему посторонних лиц.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Защита должна быть выполнена с учетом удобства доступа к датчику с целью проведения его технического обслуживания и поверки.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Кабель соединяющий датчик расхода с источником питания и клеммной коробкой должен быть проложен в металлорукаве и не создавать препятствия для прохода людей к датчику и в помещение КИП и А ГРП № 1.</w:t>
            </w:r>
          </w:p>
        </w:tc>
        <w:tc>
          <w:tcPr>
            <w:tcW w:w="202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false"/>
              <w:spacing w:before="60" w:after="60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792" w:hanging="792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bCs/>
                <w:color w:val="auto"/>
                <w:kern w:val="0"/>
                <w:sz w:val="24"/>
                <w:szCs w:val="24"/>
                <w:lang w:val="ru-RU" w:bidi="ar-SA"/>
              </w:rPr>
              <w:t>Опыт</w:t>
            </w:r>
          </w:p>
        </w:tc>
        <w:tc>
          <w:tcPr>
            <w:tcW w:w="481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en-US" w:bidi="ar-SA"/>
              </w:rPr>
              <w:t>Участник должен обладать опытом выполнения проектных работ. Участником должны быть исполнены обязательства по таким договорам в суммарном объеме не менее 30 % от начальной максимальной цены договора, указанной в Извещении, за последние пять лет. Участник должен предоставить справку о перечне и годовых объемах выполнения аналогичных договоров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792" w:hanging="792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bCs/>
                <w:color w:val="auto"/>
                <w:kern w:val="0"/>
                <w:sz w:val="24"/>
                <w:szCs w:val="24"/>
                <w:lang w:val="ru-RU" w:bidi="ar-SA"/>
              </w:rPr>
              <w:t>Допуски СРО</w:t>
            </w:r>
          </w:p>
        </w:tc>
        <w:tc>
          <w:tcPr>
            <w:tcW w:w="481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Участник должен иметь действующее свидетельство СРО на допуск к проектным работам на выполнение видов деятельности в рамках Договора (по Перечню из Приказа Министерства регионального развития Российской Федерации от 30 декабря 2009г. №624)</w:t>
            </w:r>
            <w:r>
              <w:rPr>
                <w:color w:val="auto"/>
                <w:kern w:val="0"/>
                <w:sz w:val="24"/>
                <w:szCs w:val="24"/>
                <w:lang w:val="ru-RU" w:eastAsia="en-US" w:bidi="ar-SA"/>
              </w:rPr>
              <w:t>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false"/>
              <w:spacing w:before="60" w:after="60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  <w:t>Требования к результатам выпол</w:t>
            </w: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нения договора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-117" w:firstLine="142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договора, включая гарантируемые показатели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99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Задачи безопасности и надежности</w:t>
            </w:r>
          </w:p>
        </w:tc>
        <w:tc>
          <w:tcPr>
            <w:tcW w:w="481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24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Проектная документация должна обеспечивать решение задач по обеспечению точности и надежности измерения расхода газа потребляемого энергетическим оборудованием.</w:t>
            </w:r>
          </w:p>
          <w:p>
            <w:pPr>
              <w:pStyle w:val="Normal"/>
              <w:widowControl w:val="false"/>
              <w:suppressAutoHyphens w:val="true"/>
              <w:spacing w:before="0" w:after="24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Проектная документация должна соответствовать всем действующим нормам и стандартам в части метрологического обеспечения.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center"/>
              <w:outlineLvl w:val="2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60"/>
              <w:jc w:val="center"/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8"/>
              </w:numPr>
              <w:suppressAutoHyphens w:val="false"/>
              <w:spacing w:before="60" w:after="60"/>
              <w:ind w:left="-117" w:firstLine="142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705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Требования к оформлению проекта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color w:val="auto"/>
                <w:kern w:val="0"/>
                <w:lang w:val="ru-RU" w:bidi="ar-SA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bidi="ar-SA"/>
              </w:rPr>
              <w:t>-//-</w:t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99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en-US" w:bidi="ar-SA"/>
              </w:rPr>
              <w:t>Требования к проектной документации</w:t>
            </w:r>
          </w:p>
        </w:tc>
        <w:tc>
          <w:tcPr>
            <w:tcW w:w="4818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24" w:leader="none"/>
              </w:tabs>
              <w:suppressAutoHyphens w:val="false"/>
              <w:spacing w:before="0" w:after="120"/>
              <w:contextualSpacing/>
              <w:jc w:val="both"/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bCs/>
                <w:iCs/>
                <w:vanish/>
                <w:color w:val="auto"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4" w:leader="none"/>
              </w:tabs>
              <w:suppressAutoHyphens w:val="true"/>
              <w:spacing w:before="0" w:after="24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Комплект документации должен быть согласован с Эксплуатирующей организацией.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4" w:leader="none"/>
              </w:tabs>
              <w:suppressAutoHyphens w:val="true"/>
              <w:spacing w:before="0" w:after="12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rFonts w:eastAsia="Calibri"/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Для разработки технического проекта и управления проектом должны применяться лицензированные программные средства.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4" w:leader="none"/>
              </w:tabs>
              <w:suppressAutoHyphens w:val="true"/>
              <w:spacing w:before="120" w:after="240"/>
              <w:contextualSpacing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rFonts w:eastAsia="Calibri"/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Процесс разработки проекта должен быть непрерывным, временной разрыв в выполнении проектной документации более недели допускается только по дополнительному согласованию, Исполнитель должен еженедельно предоставлять отчет о выполнении.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4" w:leader="none"/>
              </w:tabs>
              <w:suppressAutoHyphens w:val="true"/>
              <w:spacing w:before="120" w:after="240"/>
              <w:contextualSpacing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rFonts w:eastAsia="Calibri"/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Должна быть обеспечена патентная чистота проектных решений.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bCs/>
                <w:iCs/>
                <w:color w:val="auto"/>
                <w:kern w:val="0"/>
                <w:sz w:val="24"/>
                <w:szCs w:val="24"/>
                <w:lang w:val="ru-RU" w:bidi="ar-SA"/>
              </w:rPr>
              <w:t>Весь комплект поставляемой документации должен быть на русском языке.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Проектная документация должна быть выполнена на основании согласованного и утвержденного заказчиком технического задания, и в соответствии с нормативными требованиями, в том числе в соответствии с требованиями постановления Правительства РФ от 16.02.2008 № 87 «О составе разделов проектной документации и требованиях к их содержанию».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b/>
                <w:bCs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color w:val="auto"/>
                <w:kern w:val="0"/>
                <w:sz w:val="24"/>
                <w:szCs w:val="24"/>
                <w:lang w:val="ru-RU" w:eastAsia="x-none" w:bidi="ar-SA"/>
              </w:rPr>
            </w:pPr>
            <w:r>
              <w:rPr>
                <w:rFonts w:eastAsia="Calibri"/>
                <w:b/>
                <w:color w:val="auto"/>
                <w:kern w:val="0"/>
                <w:sz w:val="24"/>
                <w:szCs w:val="24"/>
                <w:lang w:val="ru-RU" w:eastAsia="x-none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color w:val="auto"/>
                <w:kern w:val="0"/>
                <w:sz w:val="24"/>
                <w:szCs w:val="24"/>
                <w:lang w:val="x-none" w:eastAsia="x-none" w:bidi="ar-SA"/>
              </w:rPr>
            </w:pPr>
            <w:r>
              <w:rPr>
                <w:rFonts w:eastAsia="Calibri"/>
                <w:b/>
                <w:color w:val="auto"/>
                <w:kern w:val="0"/>
                <w:sz w:val="24"/>
                <w:szCs w:val="24"/>
                <w:lang w:val="x-none" w:eastAsia="x-none" w:bidi="ar-SA"/>
              </w:rPr>
            </w:r>
          </w:p>
        </w:tc>
      </w:tr>
      <w:tr>
        <w:trPr/>
        <w:tc>
          <w:tcPr>
            <w:tcW w:w="981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8"/>
              </w:numPr>
              <w:suppressAutoHyphens w:val="false"/>
              <w:spacing w:before="60" w:after="60"/>
              <w:ind w:left="1213" w:hanging="1199"/>
              <w:contextualSpacing/>
              <w:jc w:val="center"/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rFonts w:eastAsia="Calibri"/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234" w:type="dxa"/>
            <w:tcBorders/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en-US" w:bidi="ar-SA"/>
              </w:rPr>
              <w:t>Требования к форматам предоставляемой проектной документации</w:t>
            </w:r>
          </w:p>
        </w:tc>
        <w:tc>
          <w:tcPr>
            <w:tcW w:w="4818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color w:val="auto"/>
                <w:kern w:val="0"/>
                <w:lang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Проектная документация предоставляется Поставщиком, на бумажном носителе и в электронном виде в формате *.</w:t>
            </w:r>
            <w:r>
              <w:rPr>
                <w:color w:val="auto"/>
                <w:kern w:val="0"/>
                <w:sz w:val="24"/>
                <w:szCs w:val="24"/>
                <w:lang w:val="en-US" w:bidi="ar-SA"/>
              </w:rPr>
              <w:t>doc</w:t>
            </w: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, *.</w:t>
            </w:r>
            <w:r>
              <w:rPr>
                <w:color w:val="auto"/>
                <w:kern w:val="0"/>
                <w:sz w:val="24"/>
                <w:szCs w:val="24"/>
                <w:lang w:val="en-US" w:bidi="ar-SA"/>
              </w:rPr>
              <w:t>xls</w:t>
            </w: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, *.</w:t>
            </w:r>
            <w:r>
              <w:rPr>
                <w:color w:val="auto"/>
                <w:kern w:val="0"/>
                <w:sz w:val="24"/>
                <w:szCs w:val="24"/>
                <w:lang w:val="en-US" w:bidi="ar-SA"/>
              </w:rPr>
              <w:t>pdf</w:t>
            </w: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, схемы в формате *.</w:t>
            </w:r>
            <w:r>
              <w:rPr>
                <w:color w:val="auto"/>
                <w:kern w:val="0"/>
                <w:sz w:val="24"/>
                <w:szCs w:val="24"/>
                <w:lang w:val="en-US" w:bidi="ar-SA"/>
              </w:rPr>
              <w:t>dwg</w:t>
            </w: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>, *.</w:t>
            </w:r>
            <w:r>
              <w:rPr>
                <w:color w:val="auto"/>
                <w:kern w:val="0"/>
                <w:sz w:val="24"/>
                <w:szCs w:val="24"/>
                <w:lang w:val="en-US" w:bidi="ar-SA"/>
              </w:rPr>
              <w:t>vsd</w:t>
            </w: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  <w:t xml:space="preserve"> (на съемных носителях).</w:t>
            </w:r>
          </w:p>
        </w:tc>
        <w:tc>
          <w:tcPr>
            <w:tcW w:w="202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kern w:val="0"/>
                <w:sz w:val="24"/>
                <w:szCs w:val="24"/>
                <w:lang w:val="ru-RU" w:bidi="ar-SA"/>
              </w:rPr>
            </w:pPr>
            <w:r>
              <w:rPr>
                <w:color w:val="auto"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2512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color w:val="auto"/>
                <w:kern w:val="0"/>
                <w:sz w:val="24"/>
                <w:szCs w:val="24"/>
                <w:lang w:val="ru-RU" w:eastAsia="x-none" w:bidi="ar-SA"/>
              </w:rPr>
            </w:pPr>
            <w:r>
              <w:rPr>
                <w:rFonts w:eastAsia="Calibri"/>
                <w:b/>
                <w:color w:val="auto"/>
                <w:kern w:val="0"/>
                <w:sz w:val="24"/>
                <w:szCs w:val="24"/>
                <w:lang w:val="ru-RU" w:eastAsia="x-none" w:bidi="ar-SA"/>
              </w:rPr>
            </w:r>
          </w:p>
        </w:tc>
        <w:tc>
          <w:tcPr>
            <w:tcW w:w="2599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color w:val="auto"/>
                <w:kern w:val="0"/>
                <w:sz w:val="24"/>
                <w:szCs w:val="24"/>
                <w:lang w:val="x-none" w:eastAsia="x-none" w:bidi="ar-SA"/>
              </w:rPr>
            </w:pPr>
            <w:r>
              <w:rPr>
                <w:rFonts w:eastAsia="Calibri"/>
                <w:b/>
                <w:color w:val="auto"/>
                <w:kern w:val="0"/>
                <w:sz w:val="24"/>
                <w:szCs w:val="24"/>
                <w:lang w:val="x-none" w:eastAsia="x-none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olor w:val="auto"/>
        </w:rPr>
      </w:pPr>
      <w:bookmarkStart w:id="45" w:name="_Toc167372564"/>
      <w:bookmarkStart w:id="46" w:name="_Toc46743519"/>
      <w:bookmarkStart w:id="47" w:name="_Toc51339699"/>
      <w:r>
        <w:rPr>
          <w:iCs/>
          <w:color w:val="auto"/>
        </w:rPr>
        <w:t>Приложения</w:t>
      </w:r>
      <w:bookmarkEnd w:id="45"/>
      <w:bookmarkEnd w:id="46"/>
      <w:bookmarkEnd w:id="47"/>
    </w:p>
    <w:p>
      <w:pPr>
        <w:pStyle w:val="Normal"/>
        <w:rPr>
          <w:color w:val="auto"/>
          <w:lang w:val="x-none" w:eastAsia="x-none"/>
        </w:rPr>
      </w:pPr>
      <w:r>
        <w:rPr>
          <w:color w:val="auto"/>
          <w:lang w:val="x-none" w:eastAsia="x-none"/>
        </w:rPr>
      </w:r>
    </w:p>
    <w:p>
      <w:pPr>
        <w:pStyle w:val="Normal"/>
        <w:numPr>
          <w:ilvl w:val="0"/>
          <w:numId w:val="10"/>
        </w:numPr>
        <w:suppressAutoHyphens w:val="false"/>
        <w:spacing w:lineRule="auto" w:line="259" w:before="0" w:after="120"/>
        <w:contextualSpacing/>
        <w:rPr>
          <w:color w:val="auto"/>
        </w:rPr>
      </w:pPr>
      <w:r>
        <w:rPr>
          <w:rFonts w:eastAsia="Calibri"/>
          <w:color w:val="auto"/>
          <w:sz w:val="24"/>
          <w:szCs w:val="24"/>
          <w:lang w:eastAsia="x-none"/>
        </w:rPr>
        <w:t>Монтажная схема существующего узла учета газа ГРП № 1;</w:t>
      </w:r>
    </w:p>
    <w:p>
      <w:pPr>
        <w:pStyle w:val="Normal"/>
        <w:numPr>
          <w:ilvl w:val="0"/>
          <w:numId w:val="10"/>
        </w:numPr>
        <w:suppressAutoHyphens w:val="false"/>
        <w:spacing w:lineRule="auto" w:line="259" w:before="0" w:after="120"/>
        <w:contextualSpacing/>
        <w:rPr>
          <w:color w:val="auto"/>
        </w:rPr>
      </w:pPr>
      <w:r>
        <w:rPr>
          <w:rFonts w:eastAsia="Calibri"/>
          <w:color w:val="auto"/>
          <w:sz w:val="24"/>
          <w:szCs w:val="24"/>
          <w:lang w:eastAsia="x-none"/>
        </w:rPr>
        <w:t>Технические характеристики датчика расхода газа ЭМИС-ВИХРЬ 200.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59" w:before="0" w:after="120"/>
        <w:ind w:left="720" w:hanging="0"/>
        <w:contextualSpacing/>
        <w:rPr>
          <w:color w:val="auto"/>
        </w:rPr>
      </w:pPr>
      <w:r>
        <w:rPr>
          <w:color w:val="auto"/>
        </w:rPr>
      </w:r>
    </w:p>
    <w:p>
      <w:pPr>
        <w:pStyle w:val="Normal"/>
        <w:suppressAutoHyphens w:val="false"/>
        <w:spacing w:lineRule="auto" w:line="259" w:before="0" w:after="120"/>
        <w:ind w:left="720" w:hanging="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bCs/>
          <w:color w:val="auto"/>
          <w:sz w:val="24"/>
          <w:szCs w:val="24"/>
        </w:rPr>
      </w:r>
    </w:p>
    <w:p>
      <w:pPr>
        <w:pStyle w:val="Normal"/>
        <w:suppressAutoHyphens w:val="false"/>
        <w:spacing w:lineRule="auto" w:line="259" w:before="0" w:after="120"/>
        <w:contextualSpacing/>
        <w:rPr>
          <w:color w:val="auto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7F2D6B9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F2D6B9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7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12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false"/>
        <w:bCs w:val="false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  <w:rFonts w:ascii="Times New Roman" w:hAnsi="Times New Roman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  <w:rFonts w:ascii="Times New Roman" w:hAnsi="Times New Roman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 w:qFormat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semiHidden="1" w:unhideWhenUsed="1" w:qFormat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 w:qFormat="1"/>
    <w:lsdException w:name="Body Text 3" w:uiPriority="0" w:semiHidden="1" w:unhideWhenUsed="1" w:qFormat="1"/>
    <w:lsdException w:name="Body Text Indent 2" w:uiPriority="0" w:semiHidden="1" w:unhideWhenUsed="1" w:qFormat="1"/>
    <w:lsdException w:name="Body Text Indent 3" w:uiPriority="0" w:semiHidden="1" w:unhideWhenUsed="1" w:qFormat="1"/>
    <w:lsdException w:name="Block Text" w:uiPriority="0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954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b95401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b95401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b95401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b95401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b95401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b95401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b95401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b95401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b95401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95401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b95401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b95401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b95401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basedOn w:val="DefaultParagraphFont"/>
    <w:uiPriority w:val="9"/>
    <w:qFormat/>
    <w:rsid w:val="00b95401"/>
    <w:rPr>
      <w:rFonts w:ascii="Times New Roman" w:hAnsi="Times New Roman" w:eastAsia="Times New Roman" w:cs="Times New Roman"/>
      <w:b/>
      <w:bCs/>
      <w:i/>
      <w:iCs/>
      <w:sz w:val="26"/>
      <w:szCs w:val="26"/>
      <w:lang w:val="x-none" w:eastAsia="x-none"/>
    </w:rPr>
  </w:style>
  <w:style w:type="character" w:styleId="6" w:customStyle="1">
    <w:name w:val="Заголовок 6 Знак"/>
    <w:basedOn w:val="DefaultParagraphFont"/>
    <w:uiPriority w:val="9"/>
    <w:qFormat/>
    <w:rsid w:val="00b95401"/>
    <w:rPr>
      <w:rFonts w:ascii="Cambria" w:hAnsi="Cambria" w:eastAsia="Times New Roman" w:cs="Times New Roman"/>
      <w:i/>
      <w:iCs/>
      <w:color w:val="243F60"/>
      <w:sz w:val="20"/>
      <w:szCs w:val="20"/>
      <w:lang w:val="x-none" w:eastAsia="x-none"/>
    </w:rPr>
  </w:style>
  <w:style w:type="character" w:styleId="7" w:customStyle="1">
    <w:name w:val="Заголовок 7 Знак"/>
    <w:basedOn w:val="DefaultParagraphFont"/>
    <w:uiPriority w:val="9"/>
    <w:qFormat/>
    <w:rsid w:val="00b95401"/>
    <w:rPr>
      <w:rFonts w:ascii="Cambria" w:hAnsi="Cambria" w:eastAsia="Times New Roman" w:cs="Times New Roman"/>
      <w:i/>
      <w:iCs/>
      <w:color w:val="404040"/>
      <w:sz w:val="20"/>
      <w:szCs w:val="20"/>
      <w:lang w:val="x-none" w:eastAsia="x-none"/>
    </w:rPr>
  </w:style>
  <w:style w:type="character" w:styleId="8" w:customStyle="1">
    <w:name w:val="Заголовок 8 Знак"/>
    <w:basedOn w:val="DefaultParagraphFont"/>
    <w:uiPriority w:val="9"/>
    <w:qFormat/>
    <w:rsid w:val="00b95401"/>
    <w:rPr>
      <w:rFonts w:ascii="Cambria" w:hAnsi="Cambria" w:eastAsia="Times New Roman" w:cs="Times New Roman"/>
      <w:color w:val="4F81BD"/>
      <w:sz w:val="20"/>
      <w:szCs w:val="20"/>
      <w:lang w:val="x-none" w:eastAsia="x-none"/>
    </w:rPr>
  </w:style>
  <w:style w:type="character" w:styleId="9" w:customStyle="1">
    <w:name w:val="Заголовок 9 Знак"/>
    <w:basedOn w:val="DefaultParagraphFont"/>
    <w:uiPriority w:val="9"/>
    <w:qFormat/>
    <w:rsid w:val="00b95401"/>
    <w:rPr>
      <w:rFonts w:ascii="Arial" w:hAnsi="Arial" w:eastAsia="Times New Roman" w:cs="Times New Roman"/>
      <w:lang w:val="x-none" w:eastAsia="x-none"/>
    </w:rPr>
  </w:style>
  <w:style w:type="character" w:styleId="11" w:customStyle="1">
    <w:name w:val="Знак сноски1"/>
    <w:qFormat/>
    <w:rsid w:val="00b95401"/>
    <w:rPr>
      <w:vertAlign w:val="superscript"/>
    </w:rPr>
  </w:style>
  <w:style w:type="character" w:styleId="FootnoteCharacters" w:customStyle="1">
    <w:name w:val="Footnote Characters"/>
    <w:qFormat/>
    <w:rsid w:val="00b95401"/>
    <w:rPr>
      <w:vertAlign w:val="superscript"/>
    </w:rPr>
  </w:style>
  <w:style w:type="character" w:styleId="Pagenumber">
    <w:name w:val="page number"/>
    <w:basedOn w:val="DefaultParagraphFont"/>
    <w:qFormat/>
    <w:rsid w:val="00b95401"/>
    <w:rPr/>
  </w:style>
  <w:style w:type="character" w:styleId="Hyperlink">
    <w:name w:val="Hyperlink"/>
    <w:basedOn w:val="DefaultParagraphFont"/>
    <w:uiPriority w:val="99"/>
    <w:unhideWhenUsed/>
    <w:rsid w:val="008e2084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95401"/>
    <w:rPr>
      <w:sz w:val="16"/>
      <w:szCs w:val="16"/>
    </w:rPr>
  </w:style>
  <w:style w:type="character" w:styleId="Strong">
    <w:name w:val="Strong"/>
    <w:uiPriority w:val="22"/>
    <w:qFormat/>
    <w:rsid w:val="00b95401"/>
    <w:rPr>
      <w:b/>
      <w:bCs/>
    </w:rPr>
  </w:style>
  <w:style w:type="character" w:styleId="Style" w:customStyle="1">
    <w:name w:val="Название Знак"/>
    <w:link w:val="116"/>
    <w:uiPriority w:val="10"/>
    <w:qFormat/>
    <w:rsid w:val="00b95401"/>
    <w:rPr>
      <w:sz w:val="28"/>
    </w:rPr>
  </w:style>
  <w:style w:type="character" w:styleId="Style1" w:customStyle="1">
    <w:name w:val="Подзаголовок Знак"/>
    <w:uiPriority w:val="11"/>
    <w:qFormat/>
    <w:rsid w:val="00b95401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b95401"/>
    <w:rPr>
      <w:i/>
      <w:iCs/>
    </w:rPr>
  </w:style>
  <w:style w:type="character" w:styleId="21" w:customStyle="1">
    <w:name w:val="Цитата 2 Знак"/>
    <w:link w:val="Quote"/>
    <w:uiPriority w:val="29"/>
    <w:qFormat/>
    <w:rsid w:val="00b95401"/>
    <w:rPr>
      <w:rFonts w:ascii="Calibri" w:hAnsi="Calibri" w:eastAsia="Calibri"/>
      <w:i/>
      <w:iCs/>
      <w:color w:val="000000"/>
      <w:lang w:val="x-none" w:eastAsia="x-none"/>
    </w:rPr>
  </w:style>
  <w:style w:type="character" w:styleId="Style2" w:customStyle="1">
    <w:name w:val="Выделенная цитата Знак"/>
    <w:link w:val="IntenseQuote"/>
    <w:uiPriority w:val="30"/>
    <w:qFormat/>
    <w:rsid w:val="00b95401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b95401"/>
    <w:rPr>
      <w:i/>
      <w:iCs/>
      <w:color w:val="808080"/>
    </w:rPr>
  </w:style>
  <w:style w:type="character" w:styleId="IntenseEmphasis">
    <w:name w:val="Intense Emphasis"/>
    <w:uiPriority w:val="21"/>
    <w:qFormat/>
    <w:rsid w:val="00b95401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95401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95401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95401"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sid w:val="00b95401"/>
    <w:rPr>
      <w:rFonts w:eastAsia="Calibri"/>
      <w:sz w:val="24"/>
      <w:szCs w:val="24"/>
    </w:rPr>
  </w:style>
  <w:style w:type="character" w:styleId="12" w:customStyle="1">
    <w:name w:val="Подпункт Знак1"/>
    <w:link w:val="Style31"/>
    <w:qFormat/>
    <w:locked/>
    <w:rsid w:val="00b95401"/>
    <w:rPr>
      <w:sz w:val="28"/>
    </w:rPr>
  </w:style>
  <w:style w:type="character" w:styleId="Style4" w:customStyle="1">
    <w:name w:val="Текст сноски Знак"/>
    <w:qFormat/>
    <w:rsid w:val="00b95401"/>
    <w:rPr/>
  </w:style>
  <w:style w:type="character" w:styleId="Style5" w:customStyle="1">
    <w:name w:val="Основной текст Знак"/>
    <w:qFormat/>
    <w:rsid w:val="00b95401"/>
    <w:rPr>
      <w:sz w:val="28"/>
      <w:szCs w:val="28"/>
    </w:rPr>
  </w:style>
  <w:style w:type="character" w:styleId="Blk" w:customStyle="1">
    <w:name w:val="blk"/>
    <w:qFormat/>
    <w:rsid w:val="00b95401"/>
    <w:rPr/>
  </w:style>
  <w:style w:type="character" w:styleId="Style6" w:customStyle="1">
    <w:name w:val="Абзац списка Знак"/>
    <w:link w:val="ListParagraph"/>
    <w:uiPriority w:val="34"/>
    <w:qFormat/>
    <w:locked/>
    <w:rsid w:val="00b95401"/>
    <w:rPr>
      <w:rFonts w:eastAsia="Calibri"/>
      <w:sz w:val="24"/>
      <w:szCs w:val="24"/>
    </w:rPr>
  </w:style>
  <w:style w:type="character" w:styleId="Style7" w:customStyle="1">
    <w:name w:val="комментарий"/>
    <w:qFormat/>
    <w:rsid w:val="00b95401"/>
    <w:rPr>
      <w:b/>
      <w:i/>
      <w:shd w:fill="FFFF99" w:val="clear"/>
    </w:rPr>
  </w:style>
  <w:style w:type="character" w:styleId="Style8" w:customStyle="1">
    <w:name w:val="Подподпункт Знак"/>
    <w:link w:val="Style39"/>
    <w:qFormat/>
    <w:locked/>
    <w:rsid w:val="00b95401"/>
    <w:rPr>
      <w:sz w:val="26"/>
      <w:szCs w:val="26"/>
    </w:rPr>
  </w:style>
  <w:style w:type="character" w:styleId="31" w:customStyle="1">
    <w:name w:val="УРОВЕНЬ_Абзац_тип3 Знак"/>
    <w:link w:val="37"/>
    <w:qFormat/>
    <w:rsid w:val="00b95401"/>
    <w:rPr>
      <w:rFonts w:eastAsia="Calibri"/>
      <w:sz w:val="26"/>
      <w:szCs w:val="28"/>
    </w:rPr>
  </w:style>
  <w:style w:type="character" w:styleId="Style9" w:customStyle="1">
    <w:name w:val="Верхний колонтитул Знак"/>
    <w:uiPriority w:val="99"/>
    <w:qFormat/>
    <w:rsid w:val="00b95401"/>
    <w:rPr>
      <w:sz w:val="24"/>
      <w:szCs w:val="24"/>
    </w:rPr>
  </w:style>
  <w:style w:type="character" w:styleId="Style10" w:customStyle="1">
    <w:name w:val="Текст примечания Знак"/>
    <w:link w:val="Annotationtext"/>
    <w:semiHidden/>
    <w:qFormat/>
    <w:rsid w:val="00b95401"/>
    <w:rPr/>
  </w:style>
  <w:style w:type="character" w:styleId="Style11" w:customStyle="1">
    <w:name w:val="Текст концевой сноски Знак"/>
    <w:basedOn w:val="DefaultParagraphFont"/>
    <w:qFormat/>
    <w:rsid w:val="00b95401"/>
    <w:rPr/>
  </w:style>
  <w:style w:type="character" w:styleId="13" w:customStyle="1">
    <w:name w:val="Знак концевой сноски1"/>
    <w:qFormat/>
    <w:rsid w:val="00b95401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b95401"/>
    <w:rPr>
      <w:vertAlign w:val="superscript"/>
    </w:rPr>
  </w:style>
  <w:style w:type="character" w:styleId="22" w:customStyle="1">
    <w:name w:val="Пункт2 Знак"/>
    <w:link w:val="26"/>
    <w:qFormat/>
    <w:rsid w:val="00b95401"/>
    <w:rPr>
      <w:b/>
      <w:sz w:val="28"/>
    </w:rPr>
  </w:style>
  <w:style w:type="character" w:styleId="14" w:customStyle="1">
    <w:name w:val="УРОВЕНЬ_1. Знак"/>
    <w:link w:val="120"/>
    <w:qFormat/>
    <w:rsid w:val="00b95401"/>
    <w:rPr>
      <w:rFonts w:eastAsia="Calibri"/>
      <w:caps/>
      <w:sz w:val="28"/>
      <w:szCs w:val="28"/>
    </w:rPr>
  </w:style>
  <w:style w:type="character" w:styleId="15" w:customStyle="1">
    <w:name w:val="Неразрешенное упоминание1"/>
    <w:basedOn w:val="DefaultParagraphFont"/>
    <w:uiPriority w:val="99"/>
    <w:semiHidden/>
    <w:unhideWhenUsed/>
    <w:qFormat/>
    <w:rsid w:val="00b95401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b95401"/>
    <w:rPr>
      <w:sz w:val="16"/>
      <w:szCs w:val="16"/>
    </w:rPr>
  </w:style>
  <w:style w:type="character" w:styleId="Style12" w:customStyle="1">
    <w:name w:val="Символ сноски"/>
    <w:qFormat/>
    <w:rsid w:val="00b95401"/>
    <w:rPr/>
  </w:style>
  <w:style w:type="character" w:styleId="Style13" w:customStyle="1">
    <w:name w:val="Ссылка указателя"/>
    <w:qFormat/>
    <w:rsid w:val="00b95401"/>
    <w:rPr/>
  </w:style>
  <w:style w:type="character" w:styleId="Style14" w:customStyle="1">
    <w:name w:val="Символ концевой сноски"/>
    <w:qFormat/>
    <w:rsid w:val="00b95401"/>
    <w:rPr/>
  </w:style>
  <w:style w:type="character" w:styleId="Style15" w:customStyle="1">
    <w:name w:val="Заголовок Знак"/>
    <w:basedOn w:val="DefaultParagraphFont"/>
    <w:qFormat/>
    <w:rsid w:val="00b95401"/>
    <w:rPr>
      <w:rFonts w:ascii="Liberation Sans" w:hAnsi="Liberation Sans" w:eastAsia="Microsoft YaHei" w:cs="Lucida Sans"/>
      <w:sz w:val="28"/>
      <w:szCs w:val="28"/>
      <w:lang w:eastAsia="ru-RU"/>
    </w:rPr>
  </w:style>
  <w:style w:type="character" w:styleId="16" w:customStyle="1">
    <w:name w:val="Основной текст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7" w:customStyle="1">
    <w:name w:val="Текст сноски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8" w:customStyle="1">
    <w:name w:val="Верхний колонтитул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6" w:customStyle="1">
    <w:name w:val="Основной текст с отступом Знак"/>
    <w:basedOn w:val="DefaultParagraphFont"/>
    <w:qFormat/>
    <w:rsid w:val="00b9540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Нижний колонтитул Знак"/>
    <w:basedOn w:val="DefaultParagraphFont"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3" w:customStyle="1">
    <w:name w:val="Основной текст 3 Знак"/>
    <w:basedOn w:val="DefaultParagraphFont"/>
    <w:link w:val="BodyText3"/>
    <w:qFormat/>
    <w:rsid w:val="00b954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11" w:customStyle="1">
    <w:name w:val="Основной текст с отступом 3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4" w:customStyle="1">
    <w:name w:val="Основной текст 2 Знак"/>
    <w:basedOn w:val="DefaultParagraphFont"/>
    <w:link w:val="BodyText2"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8" w:customStyle="1">
    <w:name w:val="Текст выноски Знак"/>
    <w:basedOn w:val="DefaultParagraphFont"/>
    <w:link w:val="BalloonText"/>
    <w:semiHidden/>
    <w:qFormat/>
    <w:rsid w:val="00b95401"/>
    <w:rPr>
      <w:rFonts w:ascii="Tahoma" w:hAnsi="Tahoma" w:eastAsia="Times New Roman" w:cs="Tahoma"/>
      <w:sz w:val="16"/>
      <w:szCs w:val="16"/>
      <w:lang w:eastAsia="ru-RU"/>
    </w:rPr>
  </w:style>
  <w:style w:type="character" w:styleId="19" w:customStyle="1">
    <w:name w:val="Текст примечания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9" w:customStyle="1">
    <w:name w:val="Тема примечания Знак"/>
    <w:basedOn w:val="19"/>
    <w:link w:val="Annotationsubject"/>
    <w:semiHidden/>
    <w:qFormat/>
    <w:rsid w:val="00b9540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10" w:customStyle="1">
    <w:name w:val="Подзаголовок Знак1"/>
    <w:basedOn w:val="DefaultParagraphFont"/>
    <w:uiPriority w:val="11"/>
    <w:qFormat/>
    <w:rsid w:val="00b95401"/>
    <w:rPr>
      <w:rFonts w:eastAsia="" w:eastAsiaTheme="minorEastAsia"/>
      <w:color w:val="5A5A5A" w:themeColor="text1" w:themeTint="a5"/>
      <w:spacing w:val="15"/>
      <w:lang w:eastAsia="ru-RU"/>
    </w:rPr>
  </w:style>
  <w:style w:type="character" w:styleId="211" w:customStyle="1">
    <w:name w:val="Цитата 2 Знак1"/>
    <w:basedOn w:val="DefaultParagraphFont"/>
    <w:uiPriority w:val="29"/>
    <w:qFormat/>
    <w:rsid w:val="00b95401"/>
    <w:rPr>
      <w:rFonts w:ascii="Times New Roman" w:hAnsi="Times New Roman" w:eastAsia="Times New Roman" w:cs="Times New Roman"/>
      <w:i/>
      <w:iCs/>
      <w:color w:val="404040" w:themeColor="text1" w:themeTint="bf"/>
      <w:sz w:val="28"/>
      <w:szCs w:val="28"/>
      <w:lang w:eastAsia="ru-RU"/>
    </w:rPr>
  </w:style>
  <w:style w:type="character" w:styleId="111" w:customStyle="1">
    <w:name w:val="Выделенная цитата Знак1"/>
    <w:basedOn w:val="DefaultParagraphFont"/>
    <w:uiPriority w:val="30"/>
    <w:qFormat/>
    <w:rsid w:val="00b95401"/>
    <w:rPr>
      <w:rFonts w:ascii="Times New Roman" w:hAnsi="Times New Roman" w:eastAsia="Times New Roman" w:cs="Times New Roman"/>
      <w:i/>
      <w:iCs/>
      <w:color w:val="5B9BD5" w:themeColor="accent1"/>
      <w:sz w:val="28"/>
      <w:szCs w:val="28"/>
      <w:lang w:eastAsia="ru-RU"/>
    </w:rPr>
  </w:style>
  <w:style w:type="character" w:styleId="112" w:customStyle="1">
    <w:name w:val="Электронная подпись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3" w:customStyle="1">
    <w:name w:val="Текст концевой сноски Знак1"/>
    <w:basedOn w:val="DefaultParagraphFont"/>
    <w:uiPriority w:val="99"/>
    <w:semiHidden/>
    <w:qFormat/>
    <w:rsid w:val="00b9540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4" w:customStyle="1">
    <w:name w:val="Номер строки1"/>
    <w:qFormat/>
    <w:rPr/>
  </w:style>
  <w:style w:type="character" w:styleId="Style20" w:customStyle="1">
    <w:name w:val="Таблица Знак"/>
    <w:basedOn w:val="DefaultParagraphFont"/>
    <w:qFormat/>
    <w:rsid w:val="007c61c4"/>
    <w:rPr>
      <w:sz w:val="24"/>
      <w:lang w:val="ru-RU" w:eastAsia="zh-CN" w:bidi="ar-SA"/>
    </w:rPr>
  </w:style>
  <w:style w:type="character" w:styleId="Style21" w:customStyle="1">
    <w:name w:val="Текст Знак"/>
    <w:basedOn w:val="DefaultParagraphFont"/>
    <w:link w:val="PlainText"/>
    <w:qFormat/>
    <w:rsid w:val="00ff42f1"/>
    <w:rPr>
      <w:rFonts w:ascii="Courier New" w:hAnsi="Courier New" w:eastAsia="Times New Roman" w:cs="Times New Roman"/>
      <w:sz w:val="20"/>
      <w:szCs w:val="20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e2084"/>
    <w:rPr>
      <w:color w:val="605E5C"/>
      <w:shd w:fill="E1DFDD" w:val="clear"/>
    </w:rPr>
  </w:style>
  <w:style w:type="character" w:styleId="CharChar" w:customStyle="1">
    <w:name w:val="Обычный Char Char"/>
    <w:link w:val="121"/>
    <w:qFormat/>
    <w:rsid w:val="0092318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>
    <w:name w:val="Символ нумерации"/>
    <w:qFormat/>
    <w:rPr>
      <w:rFonts w:ascii="Times New Roman" w:hAnsi="Times New Roman"/>
      <w:sz w:val="24"/>
      <w:szCs w:val="24"/>
    </w:rPr>
  </w:style>
  <w:style w:type="character" w:styleId="Style23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24">
    <w:name w:val="Гипертекстовая ссылка"/>
    <w:basedOn w:val="Style23"/>
    <w:qFormat/>
    <w:rPr>
      <w:rFonts w:ascii="Times New Roman" w:hAnsi="Times New Roman"/>
      <w:b w:val="false"/>
      <w:color w:val="106BBE"/>
      <w:sz w:val="24"/>
    </w:rPr>
  </w:style>
  <w:style w:type="paragraph" w:styleId="Style2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5"/>
    <w:rsid w:val="00b95401"/>
    <w:pPr>
      <w:spacing w:before="0" w:after="120"/>
    </w:pPr>
    <w:rPr>
      <w:rFonts w:ascii="Calibri" w:hAnsi="Calibri" w:eastAsia="Calibri" w:cs="" w:asciiTheme="minorHAnsi" w:cstheme="minorBidi" w:eastAsiaTheme="minorHAnsi" w:hAnsiTheme="minorHAnsi"/>
      <w:lang w:eastAsia="en-US"/>
    </w:rPr>
  </w:style>
  <w:style w:type="paragraph" w:styleId="List">
    <w:name w:val="List"/>
    <w:basedOn w:val="BodyText"/>
    <w:rsid w:val="00b95401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15"/>
    <w:qFormat/>
    <w:rsid w:val="00b95401"/>
    <w:pPr>
      <w:keepNext w:val="true"/>
      <w:spacing w:before="240" w:after="120"/>
    </w:pPr>
    <w:rPr>
      <w:rFonts w:ascii="Liberation Sans" w:hAnsi="Liberation Sans" w:eastAsia="Microsoft YaHei"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b95401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Index1">
    <w:name w:val="index 1"/>
    <w:basedOn w:val="Normal"/>
    <w:next w:val="Normal"/>
    <w:autoRedefine/>
    <w:uiPriority w:val="99"/>
    <w:semiHidden/>
    <w:unhideWhenUsed/>
    <w:qFormat/>
    <w:rsid w:val="00b95401"/>
    <w:pPr>
      <w:ind w:left="280" w:hanging="280"/>
    </w:pPr>
    <w:rPr/>
  </w:style>
  <w:style w:type="paragraph" w:styleId="Style27" w:customStyle="1">
    <w:name w:val="Название раздела инструкции"/>
    <w:basedOn w:val="Normal"/>
    <w:autoRedefine/>
    <w:qFormat/>
    <w:rsid w:val="00b95401"/>
    <w:pPr>
      <w:jc w:val="center"/>
    </w:pPr>
    <w:rPr>
      <w:b/>
    </w:rPr>
  </w:style>
  <w:style w:type="paragraph" w:styleId="Style28" w:customStyle="1">
    <w:name w:val="Раздел положения"/>
    <w:basedOn w:val="Normal"/>
    <w:autoRedefine/>
    <w:qFormat/>
    <w:rsid w:val="00b95401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9" w:customStyle="1">
    <w:name w:val="Подраздел раздела положения"/>
    <w:basedOn w:val="Normal"/>
    <w:autoRedefine/>
    <w:qFormat/>
    <w:rsid w:val="00b95401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4"/>
    <w:rsid w:val="00b95401"/>
    <w:pPr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115" w:customStyle="1">
    <w:name w:val="Шапка 1"/>
    <w:basedOn w:val="Normal"/>
    <w:qFormat/>
    <w:rsid w:val="00b95401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5" w:customStyle="1">
    <w:name w:val="Шапка 2"/>
    <w:basedOn w:val="Normal"/>
    <w:qFormat/>
    <w:rsid w:val="00b95401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b95401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6" w:customStyle="1">
    <w:name w:val="Название1"/>
    <w:basedOn w:val="Normal"/>
    <w:link w:val="Style"/>
    <w:uiPriority w:val="10"/>
    <w:qFormat/>
    <w:rsid w:val="00b95401"/>
    <w:pPr>
      <w:jc w:val="center"/>
    </w:pPr>
    <w:rPr>
      <w:rFonts w:ascii="Calibri" w:hAnsi="Calibri" w:eastAsia="Calibri" w:cs="" w:asciiTheme="minorHAnsi" w:cstheme="minorBidi" w:eastAsiaTheme="minorHAnsi" w:hAnsiTheme="minorHAnsi"/>
      <w:szCs w:val="22"/>
      <w:lang w:eastAsia="en-US"/>
    </w:rPr>
  </w:style>
  <w:style w:type="paragraph" w:styleId="Style30" w:customStyle="1">
    <w:name w:val="Колонтитул"/>
    <w:basedOn w:val="Normal"/>
    <w:qFormat/>
    <w:rsid w:val="00b95401"/>
    <w:pPr/>
    <w:rPr/>
  </w:style>
  <w:style w:type="paragraph" w:styleId="Header">
    <w:name w:val="Header"/>
    <w:basedOn w:val="Normal"/>
    <w:link w:val="Style9"/>
    <w:uiPriority w:val="99"/>
    <w:rsid w:val="00b95401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Calibri" w:cs="" w:asciiTheme="minorHAnsi" w:cstheme="minorBidi" w:eastAsiaTheme="minorHAnsi" w:hAnsiTheme="minorHAnsi"/>
      <w:sz w:val="24"/>
      <w:szCs w:val="24"/>
      <w:lang w:eastAsia="en-US"/>
    </w:rPr>
  </w:style>
  <w:style w:type="paragraph" w:styleId="BodyTextIndent">
    <w:name w:val="Body Text Indent"/>
    <w:basedOn w:val="Normal"/>
    <w:link w:val="Style16"/>
    <w:rsid w:val="00b95401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7"/>
    <w:rsid w:val="00b954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3"/>
    <w:qFormat/>
    <w:rsid w:val="00b95401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33"/>
    <w:qFormat/>
    <w:rsid w:val="00b95401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b95401"/>
    <w:pPr>
      <w:spacing w:before="0" w:after="120"/>
      <w:ind w:left="283" w:hanging="0"/>
    </w:pPr>
    <w:rPr>
      <w:rFonts w:ascii="Calibri" w:hAnsi="Calibri" w:eastAsia="Calibri" w:cs="" w:asciiTheme="minorHAnsi" w:cstheme="minorBidi" w:eastAsiaTheme="minorHAnsi" w:hAnsiTheme="minorHAnsi"/>
      <w:sz w:val="16"/>
      <w:szCs w:val="16"/>
      <w:lang w:eastAsia="en-US"/>
    </w:rPr>
  </w:style>
  <w:style w:type="paragraph" w:styleId="BodyText2">
    <w:name w:val="Body Text 2"/>
    <w:basedOn w:val="Normal"/>
    <w:link w:val="24"/>
    <w:qFormat/>
    <w:rsid w:val="00b95401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b95401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1" w:customStyle="1">
    <w:name w:val="Подпункт"/>
    <w:basedOn w:val="Normal"/>
    <w:link w:val="12"/>
    <w:qFormat/>
    <w:rsid w:val="00b95401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rFonts w:ascii="Calibri" w:hAnsi="Calibri" w:eastAsia="Calibri" w:cs="" w:asciiTheme="minorHAnsi" w:cstheme="minorBidi" w:eastAsiaTheme="minorHAnsi" w:hAnsiTheme="minorHAnsi"/>
      <w:szCs w:val="22"/>
      <w:lang w:eastAsia="en-US"/>
    </w:rPr>
  </w:style>
  <w:style w:type="paragraph" w:styleId="26" w:customStyle="1">
    <w:name w:val="Пункт2"/>
    <w:basedOn w:val="Normal"/>
    <w:link w:val="22"/>
    <w:qFormat/>
    <w:rsid w:val="00b95401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rFonts w:ascii="Calibri" w:hAnsi="Calibri" w:eastAsia="Calibri" w:cs="" w:asciiTheme="minorHAnsi" w:cstheme="minorBidi" w:eastAsiaTheme="minorHAnsi" w:hAnsiTheme="minorHAnsi"/>
      <w:b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rsid w:val="00b95401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b95401"/>
    <w:pPr>
      <w:ind w:left="280" w:hanging="0"/>
    </w:pPr>
    <w:rPr>
      <w:rFonts w:cs="Calibri" w:cstheme="minorHAnsi"/>
      <w:sz w:val="20"/>
      <w:szCs w:val="20"/>
    </w:rPr>
  </w:style>
  <w:style w:type="paragraph" w:styleId="Style32" w:customStyle="1">
    <w:name w:val="Раздел регламента"/>
    <w:basedOn w:val="Normal"/>
    <w:qFormat/>
    <w:rsid w:val="00b95401"/>
    <w:pPr/>
    <w:rPr/>
  </w:style>
  <w:style w:type="paragraph" w:styleId="Style33" w:customStyle="1">
    <w:name w:val="Приложение к регламенту"/>
    <w:basedOn w:val="Normal"/>
    <w:qFormat/>
    <w:rsid w:val="00b95401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b95401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Style18"/>
    <w:semiHidden/>
    <w:qFormat/>
    <w:rsid w:val="00b9540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semiHidden/>
    <w:qFormat/>
    <w:rsid w:val="00b95401"/>
    <w:pPr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Annotationsubject">
    <w:name w:val="annotation subject"/>
    <w:basedOn w:val="Annotationtext"/>
    <w:next w:val="Annotationtext"/>
    <w:link w:val="Style19"/>
    <w:semiHidden/>
    <w:qFormat/>
    <w:rsid w:val="00b95401"/>
    <w:pPr/>
    <w:rPr>
      <w:b/>
      <w:bCs/>
    </w:rPr>
  </w:style>
  <w:style w:type="paragraph" w:styleId="117" w:customStyle="1">
    <w:name w:val="Обычный (веб)1"/>
    <w:basedOn w:val="Normal"/>
    <w:uiPriority w:val="99"/>
    <w:qFormat/>
    <w:rsid w:val="00b95401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b95401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b95401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b95401"/>
    <w:pPr>
      <w:spacing w:before="0" w:after="0"/>
      <w:ind w:left="560" w:hanging="0"/>
    </w:pPr>
    <w:rPr>
      <w:rFonts w:cs="Calibri" w:cstheme="minorHAnsi"/>
      <w:sz w:val="20"/>
      <w:szCs w:val="20"/>
    </w:rPr>
  </w:style>
  <w:style w:type="paragraph" w:styleId="27" w:customStyle="1">
    <w:name w:val="Раздел положения 2"/>
    <w:basedOn w:val="Normal"/>
    <w:qFormat/>
    <w:rsid w:val="00b95401"/>
    <w:pPr>
      <w:pageBreakBefore/>
      <w:jc w:val="both"/>
      <w:outlineLvl w:val="0"/>
    </w:pPr>
    <w:rPr>
      <w:b/>
    </w:rPr>
  </w:style>
  <w:style w:type="paragraph" w:styleId="Style34" w:customStyle="1">
    <w:name w:val="Знак Знак Знак Знак Знак Знак Знак Знак Знак"/>
    <w:basedOn w:val="Normal"/>
    <w:qFormat/>
    <w:rsid w:val="00b9540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b95401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1"/>
    <w:uiPriority w:val="11"/>
    <w:qFormat/>
    <w:rsid w:val="00b95401"/>
    <w:pPr>
      <w:ind w:left="1066" w:firstLine="709"/>
    </w:pPr>
    <w:rPr>
      <w:rFonts w:ascii="Cambria" w:hAnsi="Cambria" w:eastAsia="Calibri" w:cs="" w:cstheme="minorBidi" w:eastAsiaTheme="minorHAnsi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6"/>
    <w:uiPriority w:val="34"/>
    <w:qFormat/>
    <w:rsid w:val="00b95401"/>
    <w:pPr>
      <w:spacing w:before="0" w:after="0"/>
      <w:ind w:left="720" w:hanging="0"/>
      <w:contextualSpacing/>
    </w:pPr>
    <w:rPr>
      <w:rFonts w:ascii="Calibri" w:hAnsi="Calibri" w:eastAsia="Calibri" w:cs="" w:asciiTheme="minorHAnsi" w:cstheme="minorBidi" w:hAnsiTheme="minorHAnsi"/>
      <w:sz w:val="24"/>
      <w:szCs w:val="24"/>
      <w:lang w:eastAsia="en-US"/>
    </w:rPr>
  </w:style>
  <w:style w:type="paragraph" w:styleId="Quote">
    <w:name w:val="Quote"/>
    <w:basedOn w:val="Normal"/>
    <w:next w:val="Normal"/>
    <w:link w:val="21"/>
    <w:uiPriority w:val="29"/>
    <w:qFormat/>
    <w:rsid w:val="00b95401"/>
    <w:pPr/>
    <w:rPr>
      <w:rFonts w:ascii="Calibri" w:hAnsi="Calibri" w:eastAsia="Calibri" w:cs="" w:cstheme="minorBidi"/>
      <w:i/>
      <w:iCs/>
      <w:color w:val="000000"/>
      <w:sz w:val="22"/>
      <w:szCs w:val="22"/>
      <w:lang w:val="x-none" w:eastAsia="x-none"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b95401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" w:cstheme="minorBidi"/>
      <w:b/>
      <w:bCs/>
      <w:i/>
      <w:iCs/>
      <w:color w:val="4F81BD"/>
      <w:sz w:val="22"/>
      <w:szCs w:val="22"/>
      <w:lang w:val="x-none" w:eastAsia="x-none"/>
    </w:rPr>
  </w:style>
  <w:style w:type="paragraph" w:styleId="IndexHeading">
    <w:name w:val="Index Heading"/>
    <w:basedOn w:val="Style25"/>
    <w:pPr/>
    <w:rPr/>
  </w:style>
  <w:style w:type="paragraph" w:styleId="TOCHeading">
    <w:name w:val="TOC Heading"/>
    <w:basedOn w:val="Heading1"/>
    <w:next w:val="Normal"/>
    <w:uiPriority w:val="39"/>
    <w:qFormat/>
    <w:rsid w:val="00b95401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3"/>
    <w:uiPriority w:val="99"/>
    <w:unhideWhenUsed/>
    <w:qFormat/>
    <w:rsid w:val="00b95401"/>
    <w:pPr/>
    <w:rPr>
      <w:rFonts w:ascii="Calibri" w:hAnsi="Calibri" w:eastAsia="Calibri" w:cs="" w:asciiTheme="minorHAnsi" w:cstheme="minorBidi" w:hAnsiTheme="minorHAnsi"/>
      <w:sz w:val="24"/>
      <w:szCs w:val="24"/>
      <w:lang w:eastAsia="en-US"/>
    </w:rPr>
  </w:style>
  <w:style w:type="paragraph" w:styleId="Style35" w:customStyle="1">
    <w:name w:val="Знак"/>
    <w:basedOn w:val="Normal"/>
    <w:qFormat/>
    <w:rsid w:val="00b95401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rsid w:val="00b95401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95401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 w:customStyle="1">
    <w:name w:val="Нумерованный список ур2"/>
    <w:basedOn w:val="Normal"/>
    <w:qFormat/>
    <w:rsid w:val="00b95401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b954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b9540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rsid w:val="00b95401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6" w:customStyle="1">
    <w:name w:val="Пункт"/>
    <w:basedOn w:val="Normal"/>
    <w:qFormat/>
    <w:rsid w:val="00b95401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8" w:customStyle="1">
    <w:name w:val="Абзац списка1"/>
    <w:basedOn w:val="Normal"/>
    <w:qFormat/>
    <w:rsid w:val="00b9540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7" w:customStyle="1">
    <w:name w:val="Таблица"/>
    <w:basedOn w:val="Normal"/>
    <w:qFormat/>
    <w:rsid w:val="00b95401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8" w:customStyle="1">
    <w:name w:val="Таблица шапка"/>
    <w:basedOn w:val="Normal"/>
    <w:qFormat/>
    <w:rsid w:val="00b95401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9" w:customStyle="1">
    <w:name w:val="Подподпункт"/>
    <w:basedOn w:val="Style31"/>
    <w:link w:val="Style8"/>
    <w:qFormat/>
    <w:rsid w:val="00b95401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</w:rPr>
  </w:style>
  <w:style w:type="paragraph" w:styleId="Style40" w:customStyle="1">
    <w:name w:val="УРОВЕНЬ_(а)"/>
    <w:basedOn w:val="ListParagraph"/>
    <w:qFormat/>
    <w:rsid w:val="00b95401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</w:rPr>
  </w:style>
  <w:style w:type="paragraph" w:styleId="-" w:customStyle="1">
    <w:name w:val="УРОВЕНЬ_-"/>
    <w:basedOn w:val="ListParagraph"/>
    <w:qFormat/>
    <w:rsid w:val="00b95401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</w:rPr>
  </w:style>
  <w:style w:type="paragraph" w:styleId="29" w:customStyle="1">
    <w:name w:val="УРОВЕНЬ_Абзац_тип2"/>
    <w:basedOn w:val="ListParagraph"/>
    <w:qFormat/>
    <w:rsid w:val="00b95401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37" w:customStyle="1">
    <w:name w:val="УРОВЕНЬ_Абзац_тип3"/>
    <w:basedOn w:val="ListParagraph"/>
    <w:link w:val="31"/>
    <w:qFormat/>
    <w:rsid w:val="00b95401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</w:rPr>
  </w:style>
  <w:style w:type="paragraph" w:styleId="Style41" w:customStyle="1">
    <w:name w:val="УРОВЕНЬ_Подпись"/>
    <w:basedOn w:val="ListParagraph"/>
    <w:qFormat/>
    <w:rsid w:val="00b95401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</w:rPr>
  </w:style>
  <w:style w:type="paragraph" w:styleId="119" w:customStyle="1">
    <w:name w:val="Стиль Заголовок 1 + по ширине"/>
    <w:basedOn w:val="Heading1"/>
    <w:qFormat/>
    <w:rsid w:val="00b95401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1"/>
    <w:rsid w:val="00b95401"/>
    <w:pPr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210" w:customStyle="1">
    <w:name w:val="Заголовок 2 КВВ"/>
    <w:basedOn w:val="Normal"/>
    <w:qFormat/>
    <w:rsid w:val="00b95401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42" w:customStyle="1">
    <w:name w:val="Таблица текст"/>
    <w:basedOn w:val="Normal"/>
    <w:qFormat/>
    <w:rsid w:val="00b95401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b95401"/>
    <w:pPr>
      <w:spacing w:beforeAutospacing="1" w:afterAutospacing="1"/>
    </w:pPr>
    <w:rPr>
      <w:sz w:val="24"/>
      <w:szCs w:val="24"/>
    </w:rPr>
  </w:style>
  <w:style w:type="paragraph" w:styleId="120" w:customStyle="1">
    <w:name w:val="УРОВЕНЬ_1."/>
    <w:basedOn w:val="ListParagraph"/>
    <w:link w:val="14"/>
    <w:qFormat/>
    <w:rsid w:val="00b95401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</w:rPr>
  </w:style>
  <w:style w:type="paragraph" w:styleId="TOC6">
    <w:name w:val="TOC 6"/>
    <w:basedOn w:val="Normal"/>
    <w:next w:val="Normal"/>
    <w:autoRedefine/>
    <w:unhideWhenUsed/>
    <w:rsid w:val="00b95401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b95401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b95401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43" w:customStyle="1">
    <w:name w:val="Содержимое врезки"/>
    <w:basedOn w:val="Normal"/>
    <w:qFormat/>
    <w:rsid w:val="00b95401"/>
    <w:pPr/>
    <w:rPr/>
  </w:style>
  <w:style w:type="paragraph" w:styleId="Style44" w:customStyle="1">
    <w:name w:val="Содержимое таблицы"/>
    <w:basedOn w:val="Normal"/>
    <w:qFormat/>
    <w:rsid w:val="00b95401"/>
    <w:pPr>
      <w:widowControl w:val="false"/>
      <w:suppressLineNumbers/>
    </w:pPr>
    <w:rPr/>
  </w:style>
  <w:style w:type="paragraph" w:styleId="Style45" w:customStyle="1">
    <w:name w:val="Заголовок таблицы"/>
    <w:basedOn w:val="Style44"/>
    <w:qFormat/>
    <w:rsid w:val="00b95401"/>
    <w:pPr>
      <w:jc w:val="center"/>
    </w:pPr>
    <w:rPr>
      <w:b/>
      <w:bCs/>
    </w:rPr>
  </w:style>
  <w:style w:type="paragraph" w:styleId="Default" w:customStyle="1">
    <w:name w:val="Default"/>
    <w:qFormat/>
    <w:rsid w:val="00b954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000000"/>
      <w:kern w:val="0"/>
      <w:sz w:val="24"/>
      <w:szCs w:val="24"/>
      <w:lang w:val="ru-RU" w:eastAsia="ru-RU" w:bidi="ar-SA"/>
    </w:rPr>
  </w:style>
  <w:style w:type="paragraph" w:styleId="42" w:customStyle="1">
    <w:name w:val="Маркированный список 42"/>
    <w:basedOn w:val="Normal"/>
    <w:qFormat/>
    <w:rsid w:val="00b95401"/>
    <w:pPr>
      <w:tabs>
        <w:tab w:val="clear" w:pos="708"/>
        <w:tab w:val="left" w:pos="-207" w:leader="none"/>
      </w:tabs>
      <w:suppressAutoHyphens w:val="false"/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Standard" w:customStyle="1">
    <w:name w:val="Standard"/>
    <w:qFormat/>
    <w:rsid w:val="00fe5e27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Times New Roman" w:asciiTheme="minorHAnsi" w:hAnsiTheme="minorHAnsi"/>
      <w:color w:val="auto"/>
      <w:kern w:val="2"/>
      <w:sz w:val="24"/>
      <w:szCs w:val="24"/>
      <w:lang w:val="ru-RU" w:eastAsia="ru-RU" w:bidi="ar-SA"/>
    </w:rPr>
  </w:style>
  <w:style w:type="paragraph" w:styleId="PlainText">
    <w:name w:val="Plain Text"/>
    <w:basedOn w:val="Normal"/>
    <w:link w:val="Style21"/>
    <w:qFormat/>
    <w:rsid w:val="00ff42f1"/>
    <w:pPr>
      <w:suppressAutoHyphens w:val="false"/>
    </w:pPr>
    <w:rPr>
      <w:rFonts w:ascii="Courier New" w:hAnsi="Courier New"/>
      <w:sz w:val="20"/>
      <w:szCs w:val="20"/>
      <w:lang w:eastAsia="en-US"/>
    </w:rPr>
  </w:style>
  <w:style w:type="paragraph" w:styleId="121" w:customStyle="1">
    <w:name w:val="Обычный1"/>
    <w:basedOn w:val="Normal"/>
    <w:link w:val="CharChar"/>
    <w:qFormat/>
    <w:rsid w:val="0092318e"/>
    <w:pPr>
      <w:suppressAutoHyphens w:val="false"/>
      <w:spacing w:lineRule="auto" w:line="360"/>
      <w:ind w:firstLine="851"/>
      <w:jc w:val="both"/>
    </w:pPr>
    <w:rPr>
      <w:sz w:val="24"/>
      <w:szCs w:val="24"/>
    </w:rPr>
  </w:style>
  <w:style w:type="paragraph" w:styleId="Style46">
    <w:name w:val="Текст информации об изменениях"/>
    <w:basedOn w:val="Normal"/>
    <w:next w:val="Normal"/>
    <w:qFormat/>
    <w:pPr>
      <w:ind w:firstLine="720"/>
    </w:pPr>
    <w:rPr>
      <w:color w:val="353842"/>
      <w:sz w:val="20"/>
    </w:rPr>
  </w:style>
  <w:style w:type="paragraph" w:styleId="Style47">
    <w:name w:val="Информация об изменениях"/>
    <w:basedOn w:val="Style46"/>
    <w:next w:val="Normal"/>
    <w:qFormat/>
    <w:pPr>
      <w:spacing w:before="180" w:after="0"/>
      <w:ind w:left="360" w:right="360" w:hanging="0"/>
    </w:pPr>
    <w:rPr>
      <w:color w:val="353842"/>
      <w:sz w:val="20"/>
    </w:rPr>
  </w:style>
  <w:style w:type="paragraph" w:styleId="Style48">
    <w:name w:val="Подзаголовок для информации об изменениях"/>
    <w:basedOn w:val="Style46"/>
    <w:next w:val="Normal"/>
    <w:qFormat/>
    <w:pPr>
      <w:ind w:firstLine="720"/>
    </w:pPr>
    <w:rPr>
      <w:b/>
      <w:color w:val="353842"/>
      <w:sz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22" w:customStyle="1">
    <w:name w:val="Стиль1"/>
    <w:uiPriority w:val="99"/>
    <w:qFormat/>
    <w:rsid w:val="00b95401"/>
  </w:style>
  <w:style w:type="numbering" w:styleId="212" w:customStyle="1">
    <w:name w:val="Стиль2"/>
    <w:uiPriority w:val="99"/>
    <w:qFormat/>
    <w:rsid w:val="00b95401"/>
  </w:style>
  <w:style w:type="numbering" w:styleId="123" w:customStyle="1">
    <w:name w:val="Нет списка1"/>
    <w:uiPriority w:val="99"/>
    <w:semiHidden/>
    <w:unhideWhenUsed/>
    <w:qFormat/>
    <w:rsid w:val="00b95401"/>
  </w:style>
  <w:style w:type="numbering" w:styleId="1110" w:customStyle="1">
    <w:name w:val="Стиль11"/>
    <w:uiPriority w:val="99"/>
    <w:qFormat/>
    <w:rsid w:val="00b95401"/>
  </w:style>
  <w:style w:type="numbering" w:styleId="213" w:customStyle="1">
    <w:name w:val="Стиль21"/>
    <w:uiPriority w:val="99"/>
    <w:qFormat/>
    <w:rsid w:val="00b95401"/>
  </w:style>
  <w:style w:type="numbering" w:styleId="29132199081">
    <w:name w:val="29132199081"/>
    <w:qFormat/>
  </w:style>
  <w:style w:type="numbering" w:styleId="35417018831">
    <w:name w:val="3541701883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d">
    <w:name w:val="Table Grid"/>
    <w:basedOn w:val="a5"/>
    <w:uiPriority w:val="39"/>
    <w:rsid w:val="00b95401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a">
    <w:name w:val="Сетка таблицы1"/>
    <w:basedOn w:val="a5"/>
    <w:uiPriority w:val="39"/>
    <w:rsid w:val="00b95401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f0">
    <w:name w:val="Сетка таблицы2"/>
    <w:basedOn w:val="a5"/>
    <w:uiPriority w:val="39"/>
    <w:rsid w:val="00b95401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Сетка таблицы11"/>
    <w:basedOn w:val="a5"/>
    <w:uiPriority w:val="39"/>
    <w:rsid w:val="00b95401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7D717-EE6F-46E9-9669-EBBC9A91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3659</TotalTime>
  <Application>AlterOffice/3.4.0.9$Linux_X86_64 LibreOffice_project/b8daf9e823b1a5463a2f48435ddc2e8696e7d4fc</Application>
  <AppVersion>15.0000</AppVersion>
  <Pages>12</Pages>
  <Words>1827</Words>
  <Characters>11847</Characters>
  <CharactersWithSpaces>13455</CharactersWithSpaces>
  <Paragraphs>249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2024-05-30T06:31:00Z</dcterms:created>
  <dc:creator>Погорелый Евгений Павлович</dc:creator>
  <dc:description/>
  <dc:language>ru-RU</dc:language>
  <cp:lastModifiedBy>kaplunev</cp:lastModifiedBy>
  <cp:lastPrinted>2025-09-30T13:08:45Z</cp:lastPrinted>
  <dcterms:modified xsi:type="dcterms:W3CDTF">2026-03-25T09:29:11Z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